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CUST-10004</w:t>
      </w:r>
    </w:p>
    <w:p>
      <w:pPr>
        <w:pStyle w:val="Heading1"/>
      </w:pPr>
      <w:r>
        <w:t>Customer Details</w:t>
      </w:r>
    </w:p>
    <w:p>
      <w:r>
        <w:t>CUST-10004 belongs to Customer 004 in Delhi.</w:t>
      </w:r>
    </w:p>
    <w:p>
      <w:pPr>
        <w:pStyle w:val="Heading1"/>
      </w:pPr>
      <w:r>
        <w:t>Account</w:t>
      </w:r>
    </w:p>
    <w:p>
      <w:r>
        <w:t>Segment: SMB; Industry: Retail.</w:t>
      </w:r>
    </w:p>
    <w:p>
      <w:pPr>
        <w:pStyle w:val="Heading1"/>
      </w:pPr>
      <w:r>
        <w:t>Relationship</w:t>
      </w:r>
    </w:p>
    <w:p>
      <w:r>
        <w:t>Account value INR 3,204,865. Renewal date 2026-12-10.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