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CUST-10009</w:t>
      </w:r>
    </w:p>
    <w:p>
      <w:pPr>
        <w:pStyle w:val="Heading1"/>
      </w:pPr>
      <w:r>
        <w:t>Customer Details</w:t>
      </w:r>
    </w:p>
    <w:p>
      <w:r>
        <w:t>CUST-10009 belongs to Customer 009 in Chennai.</w:t>
      </w:r>
    </w:p>
    <w:p>
      <w:pPr>
        <w:pStyle w:val="Heading1"/>
      </w:pPr>
      <w:r>
        <w:t>Account</w:t>
      </w:r>
    </w:p>
    <w:p>
      <w:r>
        <w:t>Segment: SMB; Industry: Retail.</w:t>
      </w:r>
    </w:p>
    <w:p>
      <w:pPr>
        <w:pStyle w:val="Heading1"/>
      </w:pPr>
      <w:r>
        <w:t>Relationship</w:t>
      </w:r>
    </w:p>
    <w:p>
      <w:r>
        <w:t>Account value INR 1,231,326. Renewal date 2027-07-28.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