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Client Onboarding Guide</w:t>
      </w:r>
    </w:p>
    <w:p>
      <w:pPr>
        <w:pStyle w:val="Heading1"/>
      </w:pPr>
      <w:r>
        <w:t>Phase 1: Kickoff &amp; Requirements (Days 1-5)</w:t>
      </w:r>
    </w:p>
    <w:p>
      <w:r>
        <w:t>Conduct stakeholder alignment meeting with the client sponsor. Gather architectural requirements, network topology, tenant ID, and security compliance certificates (SOC 2, ISO 27001).</w:t>
      </w:r>
    </w:p>
    <w:p>
      <w:pPr>
        <w:pStyle w:val="Heading1"/>
      </w:pPr>
      <w:r>
        <w:t>Phase 2: Environment Provisioning (Days 6-12)</w:t>
      </w:r>
    </w:p>
    <w:p>
      <w:r>
        <w:t>Deploy isolated tenant database cluster and configure RBAC roles. Set up dev and staging instances. Verify audit logging and encryption at rest (AES-256).</w:t>
      </w:r>
    </w:p>
    <w:p>
      <w:pPr>
        <w:pStyle w:val="Heading1"/>
      </w:pPr>
      <w:r>
        <w:t>Phase 3: User Acceptance &amp; Go-Live (Days 13-20)</w:t>
      </w:r>
    </w:p>
    <w:p>
      <w:r>
        <w:t>Perform load testing, conduct admin training workshop, and transition to 24/7 dedicated support team. Sign off on final UAT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