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Travel &amp; Expense Reimbursement Policy 2026</w:t>
      </w:r>
    </w:p>
    <w:p>
      <w:pPr>
        <w:pStyle w:val="Heading1"/>
      </w:pPr>
      <w:r>
        <w:t>Policy Overview &amp; Scope</w:t>
      </w:r>
    </w:p>
    <w:p>
      <w:r>
        <w:t>This policy applies to all full-time employees and contractors traveling on authorized company business. All expenses must be submitted via the expense portal within 30 days of occurrence with itemized receipts.</w:t>
      </w:r>
    </w:p>
    <w:p>
      <w:pPr>
        <w:pStyle w:val="Heading1"/>
      </w:pPr>
      <w:r>
        <w:t>Per Diem &amp; Meal Allowances</w:t>
      </w:r>
    </w:p>
    <w:p>
      <w:r>
        <w:t>Daily domestic meal allowance is $85 per day ($20 breakfast, $25 lunch, $40 dinner). International travel meal allowance is $125 per day. Alcohol expenses must be approved separately by the department manager.</w:t>
      </w:r>
    </w:p>
    <w:p>
      <w:pPr>
        <w:pStyle w:val="Heading1"/>
      </w:pPr>
      <w:r>
        <w:t>Lodging &amp; Transportation</w:t>
      </w:r>
    </w:p>
    <w:p>
      <w:r>
        <w:t>Standard hotel room rates are capped at $220/night in standard cities and $320/night in designated tier-1 high-cost metros (San Francisco, New York, London, Tokyo). Economy airfare is required for all flights under 6 hours.</w:t>
      </w:r>
    </w:p>
    <w:p>
      <w:pPr>
        <w:pStyle w:val="Heading1"/>
      </w:pPr>
      <w:r>
        <w:t>Approval Matrix</w:t>
      </w:r>
    </w:p>
    <w:p>
      <w:r>
        <w:t>Expenses under $500 are auto-approved by direct manager. Expenses between $500 and $5,000 require Department VP approval. Expenses exceeding $5,000 require CFO or CEO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