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Policy / Employee Document EMP-20006</w:t>
      </w:r>
    </w:p>
    <w:p>
      <w:pPr>
        <w:pStyle w:val="Heading1"/>
      </w:pPr>
      <w:r>
        <w:t>Employee</w:t>
      </w:r>
    </w:p>
    <w:p>
      <w:r>
        <w:t>EMP-20006, Department: Operations.</w:t>
      </w:r>
    </w:p>
    <w:p>
      <w:pPr>
        <w:pStyle w:val="Heading1"/>
      </w:pPr>
      <w:r>
        <w:t>Leave Policy</w:t>
      </w:r>
    </w:p>
    <w:p>
      <w:r>
        <w:t>Annual leave allowance: 18 days. Sick leave requires appropriate documentation where applicable.</w:t>
      </w:r>
    </w:p>
    <w:p>
      <w:pPr>
        <w:pStyle w:val="Heading1"/>
      </w:pPr>
      <w:r>
        <w:t>Performance</w:t>
      </w:r>
    </w:p>
    <w:p>
      <w:r>
        <w:t>Review cycle: Half-Yearly.</w:t>
      </w:r>
    </w:p>
    <w:p>
      <w:pPr>
        <w:pStyle w:val="Heading1"/>
      </w:pPr>
      <w:r>
        <w:t>Confidentiality</w:t>
      </w:r>
    </w:p>
    <w:p>
      <w:r>
        <w:t>Employee information must be handled according to company access and privacy policies.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