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EMP-20008</w:t>
      </w:r>
    </w:p>
    <w:p>
      <w:pPr>
        <w:pStyle w:val="Heading1"/>
      </w:pPr>
      <w:r>
        <w:t>Employee</w:t>
      </w:r>
    </w:p>
    <w:p>
      <w:r>
        <w:t>EMP-20008, Department: HR.</w:t>
      </w:r>
    </w:p>
    <w:p>
      <w:pPr>
        <w:pStyle w:val="Heading1"/>
      </w:pPr>
      <w:r>
        <w:t>Leave Policy</w:t>
      </w:r>
    </w:p>
    <w:p>
      <w:r>
        <w:t>Annual leave allowance: 15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