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EMP-20011</w:t>
      </w:r>
    </w:p>
    <w:p>
      <w:pPr>
        <w:pStyle w:val="Heading1"/>
      </w:pPr>
      <w:r>
        <w:t>Employee</w:t>
      </w:r>
    </w:p>
    <w:p>
      <w:r>
        <w:t>EMP-20011, Department: Operations.</w:t>
      </w:r>
    </w:p>
    <w:p>
      <w:pPr>
        <w:pStyle w:val="Heading1"/>
      </w:pPr>
      <w:r>
        <w:t>Leave Policy</w:t>
      </w:r>
    </w:p>
    <w:p>
      <w:r>
        <w:t>Annual leave allowance: 12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