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Project Phoenix — Enterprise Assistant Architecture 2026</w:t>
      </w:r>
    </w:p>
    <w:p>
      <w:pPr>
        <w:pStyle w:val="Heading1"/>
      </w:pPr>
      <w:r>
        <w:t>System Overview &amp; Goals</w:t>
      </w:r>
    </w:p>
    <w:p>
      <w:r>
        <w:t>Project Phoenix modernizes the core Nanvi assistant architecture into a zero-trust enterprise assistant with strict role-based access control, distributed audit logging, and hybrid vector/keyword document search.</w:t>
      </w:r>
    </w:p>
    <w:p>
      <w:pPr>
        <w:pStyle w:val="Heading1"/>
      </w:pPr>
      <w:r>
        <w:t>Security &amp; Boundary Invariants</w:t>
      </w:r>
    </w:p>
    <w:p>
      <w:r>
        <w:t>AI models never receive raw database credentials, file system paths, or unvetted system prompts. Chunks are strictly filtered against user identity permissions before reranking and LLM context injection.</w:t>
      </w:r>
    </w:p>
    <w:p>
      <w:pPr>
        <w:pStyle w:val="Heading1"/>
      </w:pPr>
      <w:r>
        <w:t>Latency &amp; Performance SLAs</w:t>
      </w:r>
    </w:p>
    <w:p>
      <w:r>
        <w:t>P95 end-to-end chat response time must remain under 1,500ms. Document indexing speed targets 50 pages per second with memory footprint under 512MB per worker process.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