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240" w:after="240"/>
      </w:pPr>
      <w:r>
        <w:rPr>
          <w:b/>
          <w:color w:val="D5271A"/>
          <w:sz w:val="18"/>
          <w:szCs w:val="18"/>
          <w:spacing w:val="30"/>
        </w:rPr>
        <w:t xml:space="preserve">ARCHITECTURE &amp; FLOW DOCUMENT  ·  VERSION 1.0</w:t>
      </w:r>
    </w:p>
    <w:p>
      <w:pPr>
        <w:spacing w:after="160" w:line="240" w:lineRule="auto"/>
      </w:pPr>
      <w:r>
        <w:rPr>
          <w:b/>
          <w:color w:val="15171C"/>
          <w:sz w:val="76"/>
          <w:szCs w:val="76"/>
        </w:rPr>
        <w:t xml:space="preserve">Unifi KPI Ontology using </w:t>
      </w:r>
      <w:r>
        <w:rPr>
          <w:b/>
          <w:color w:val="D5271A"/>
          <w:sz w:val="76"/>
          <w:szCs w:val="76"/>
        </w:rPr>
        <w:t xml:space="preserve">Neo4j</w:t>
      </w:r>
    </w:p>
    <w:p>
      <w:pPr>
        <w:spacing w:after="280" w:line="288" w:lineRule="auto"/>
      </w:pPr>
      <w:r>
        <w:rPr>
          <w:color w:val="33373E"/>
          <w:sz w:val="26"/>
          <w:szCs w:val="26"/>
        </w:rPr>
        <w:t xml:space="preserve">An ontology-driven chatbot that converts natural-language questions into deterministic Snowflake SQL. A Neo4j knowledge graph constrains and guides generation — so the LLM assembles SQL from pre-validated components rather than interpreting raw input.</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2340"/>
        <w:gridCol w:w="2340"/>
        <w:gridCol w:w="2340"/>
        <w:gridCol w:w="2340"/>
      </w:tblGrid>
      <w:tr>
        <w:trPr>
          <w:tblHeader/>
        </w:trPr>
        <w:tc>
          <w:tcPr>
            <w:tcW w:w="234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Prepared by</w:t>
            </w:r>
          </w:p>
        </w:tc>
        <w:tc>
          <w:tcPr>
            <w:tcW w:w="234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Audience</w:t>
            </w:r>
          </w:p>
        </w:tc>
        <w:tc>
          <w:tcPr>
            <w:tcW w:w="234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Classification</w:t>
            </w:r>
          </w:p>
        </w:tc>
        <w:tc>
          <w:tcPr>
            <w:tcW w:w="234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Last updated</w:t>
            </w:r>
          </w:p>
        </w:tc>
      </w:tr>
      <w:tr>
        <w:tc>
          <w:tcPr>
            <w:tcW w:w="2340" w:type="dxa"/>
            <w:tcMar>
              <w:top w:w="80" w:type="dxa"/>
              <w:left w:w="130" w:type="dxa"/>
              <w:bottom w:w="80" w:type="dxa"/>
              <w:right w:w="130" w:type="dxa"/>
            </w:tcMar>
            <w:vAlign w:val="center"/>
          </w:tcPr>
          <w:p>
            <w:pPr>
              <w:spacing w:after="0" w:line="252" w:lineRule="auto"/>
            </w:pPr>
            <w:r>
              <w:rPr>
                <w:b/>
                <w:color w:val="33373E"/>
                <w:sz w:val="20"/>
                <w:szCs w:val="20"/>
              </w:rPr>
              <w:t xml:space="preserve">iLink Digital</w:t>
            </w:r>
          </w:p>
        </w:tc>
        <w:tc>
          <w:tcPr>
            <w:tcW w:w="2340" w:type="dxa"/>
            <w:tcMar>
              <w:top w:w="80" w:type="dxa"/>
              <w:left w:w="130" w:type="dxa"/>
              <w:bottom w:w="80" w:type="dxa"/>
              <w:right w:w="130" w:type="dxa"/>
            </w:tcMar>
            <w:vAlign w:val="center"/>
          </w:tcPr>
          <w:p>
            <w:pPr>
              <w:spacing w:after="0" w:line="252" w:lineRule="auto"/>
            </w:pPr>
            <w:r>
              <w:rPr>
                <w:b/>
                <w:color w:val="33373E"/>
                <w:sz w:val="20"/>
                <w:szCs w:val="20"/>
              </w:rPr>
              <w:t xml:space="preserve">Engineering</w:t>
            </w:r>
          </w:p>
        </w:tc>
        <w:tc>
          <w:tcPr>
            <w:tcW w:w="2340" w:type="dxa"/>
            <w:tcMar>
              <w:top w:w="80" w:type="dxa"/>
              <w:left w:w="130" w:type="dxa"/>
              <w:bottom w:w="80" w:type="dxa"/>
              <w:right w:w="130" w:type="dxa"/>
            </w:tcMar>
            <w:vAlign w:val="center"/>
          </w:tcPr>
          <w:p>
            <w:pPr>
              <w:spacing w:after="0" w:line="252" w:lineRule="auto"/>
            </w:pPr>
            <w:r>
              <w:rPr>
                <w:b/>
                <w:color w:val="D5271A"/>
              </w:rPr>
              <w:t xml:space="preserve">Confidential</w:t>
            </w:r>
          </w:p>
        </w:tc>
        <w:tc>
          <w:tcPr>
            <w:tcW w:w="2340" w:type="dxa"/>
            <w:tcMar>
              <w:top w:w="80" w:type="dxa"/>
              <w:left w:w="130" w:type="dxa"/>
              <w:bottom w:w="80" w:type="dxa"/>
              <w:right w:w="130" w:type="dxa"/>
            </w:tcMar>
            <w:vAlign w:val="center"/>
          </w:tcPr>
          <w:p>
            <w:pPr>
              <w:spacing w:after="0" w:line="252" w:lineRule="auto"/>
            </w:pPr>
            <w:r>
              <w:rPr>
                <w:b/>
                <w:color w:val="33373E"/>
                <w:sz w:val="20"/>
                <w:szCs w:val="20"/>
              </w:rPr>
              <w:t xml:space="preserve">May 31, 2026</w:t>
            </w:r>
          </w:p>
        </w:tc>
      </w:tr>
    </w:tbl>
    <w:p>
      <w:pPr>
        <w:spacing w:before="160" w:after="360"/>
      </w:pPr>
      <w:r>
        <w:rPr>
          <w:caps/>
          <w:color w:val="9BA0A9"/>
          <w:sz w:val="17"/>
          <w:szCs w:val="17"/>
          <w:spacing w:val="20"/>
        </w:rPr>
        <w:t xml:space="preserve">Confidential — for internal engineering use.</w:t>
      </w:r>
    </w:p>
    <w:p>
      <w:pPr>
        <w:pStyle w:val="Heading1"/>
        <w:spacing w:before="420" w:after="40"/>
        <w:pBdr>
          <w:bottom w:val="single" w:sz="6" w:space="6" w:color="E2E5EA"/>
        </w:pBdr>
        <w:keepNext/>
      </w:pPr>
      <w:r>
        <w:rPr>
          <w:b/>
          <w:caps/>
          <w:color w:val="D5271A"/>
          <w:sz w:val="17"/>
          <w:szCs w:val="17"/>
          <w:spacing w:val="24"/>
        </w:rPr>
        <w:t xml:space="preserve">SECTION 01</w:t>
      </w:r>
    </w:p>
    <w:p>
      <w:pPr>
        <w:spacing w:before="60" w:after="160"/>
        <w:keepNext/>
      </w:pPr>
      <w:r>
        <w:rPr>
          <w:b/>
          <w:color w:val="9BA0A9"/>
          <w:sz w:val="30"/>
          <w:szCs w:val="30"/>
        </w:rPr>
        <w:t xml:space="preserve">01   </w:t>
      </w:r>
      <w:r>
        <w:rPr>
          <w:b/>
          <w:color w:val="15171C"/>
          <w:sz w:val="38"/>
          <w:szCs w:val="38"/>
        </w:rPr>
        <w:t xml:space="preserve">Overview</w:t>
      </w:r>
    </w:p>
    <w:p>
      <w:pPr>
        <w:spacing w:after="140" w:line="276" w:lineRule="auto"/>
      </w:pPr>
      <w:r>
        <w:rPr>
          <w:color w:val="33373E"/>
          <w:sz w:val="22"/>
          <w:szCs w:val="22"/>
        </w:rPr>
        <w:t xml:space="preserve">The Unifi KPI Chatbot converts natural-language questions into Snowflake SQL queries using an ontology-driven pipeline. Instead of relying on the LLM to interpret raw user input, the system uses a structured knowledge graph (Neo4j) to constrain and guide SQL generation.</w:t>
      </w:r>
    </w:p>
    <w:p>
      <w:pPr>
        <w:spacing w:before="140" w:after="0" w:line="240" w:lineRule="auto"/>
        <w:ind w:left="60"/>
        <w:shd w:val="clear" w:color="auto" w:fill="FCEBEA"/>
        <w:pBdr>
          <w:left w:val="single" w:sz="22" w:space="14" w:color="D5271A"/>
        </w:pBdr>
      </w:pPr>
      <w:r>
        <w:rPr>
          <w:b/>
          <w:caps/>
          <w:color w:val="D5271A"/>
          <w:sz w:val="17"/>
          <w:szCs w:val="17"/>
          <w:spacing w:val="24"/>
        </w:rPr>
        <w:t xml:space="preserve">Core Design Principle</w:t>
      </w:r>
    </w:p>
    <w:p>
      <w:pPr>
        <w:spacing w:after="160" w:line="276" w:lineRule="auto"/>
        <w:ind w:left="60"/>
        <w:shd w:val="clear" w:color="auto" w:fill="FCEBEA"/>
        <w:pBdr>
          <w:left w:val="single" w:sz="22" w:space="14" w:color="D5271A"/>
        </w:pBdr>
      </w:pPr>
      <w:r>
        <w:rPr>
          <w:color w:val="15171C"/>
          <w:sz w:val="22"/>
          <w:szCs w:val="22"/>
        </w:rPr>
        <w:t xml:space="preserve">The LLM never sees the raw user question. It receives a pre-structured context with exact column names, pre-built filters, and step-by-step logic — acting as a </w:t>
      </w:r>
      <w:r>
        <w:rPr>
          <w:b/>
          <w:color w:val="15171C"/>
          <w:sz w:val="22"/>
          <w:szCs w:val="22"/>
        </w:rPr>
        <w:t xml:space="preserve">SQL assembler, not an interpreter</w:t>
      </w:r>
      <w:r>
        <w:rPr>
          <w:color w:val="15171C"/>
          <w:sz w:val="22"/>
          <w:szCs w:val="22"/>
        </w:rPr>
        <w:t xml:space="preserve">.</w:t>
      </w:r>
    </w:p>
    <w:p>
      <w:pPr>
        <w:spacing w:before="280" w:after="120"/>
        <w:keepNext/>
      </w:pPr>
      <w:r>
        <w:rPr>
          <w:b/>
          <w:color w:val="15171C"/>
          <w:sz w:val="27"/>
          <w:szCs w:val="27"/>
        </w:rPr>
        <w:t xml:space="preserve">1.1   Design Goals</w:t>
      </w:r>
    </w:p>
    <w:p>
      <w:pPr>
        <w:numPr>
          <w:ilvl w:val="0"/>
          <w:numId w:val="1"/>
        </w:numPr>
        <w:spacing w:after="60" w:line="264" w:lineRule="auto"/>
      </w:pPr>
      <w:r>
        <w:rPr>
          <w:b/>
          <w:color w:val="15171C"/>
          <w:sz w:val="22"/>
          <w:szCs w:val="22"/>
        </w:rPr>
        <w:t xml:space="preserve">Deterministic SQL generation</w:t>
      </w:r>
      <w:r>
        <w:rPr>
          <w:color w:val="33373E"/>
          <w:sz w:val="22"/>
          <w:szCs w:val="22"/>
        </w:rPr>
        <w:t xml:space="preserve"> — eliminate hallucinated column names and table references.</w:t>
      </w:r>
    </w:p>
    <w:p>
      <w:pPr>
        <w:numPr>
          <w:ilvl w:val="0"/>
          <w:numId w:val="1"/>
        </w:numPr>
        <w:spacing w:after="60" w:line="264" w:lineRule="auto"/>
      </w:pPr>
      <w:r>
        <w:rPr>
          <w:b/>
          <w:color w:val="15171C"/>
          <w:sz w:val="22"/>
          <w:szCs w:val="22"/>
        </w:rPr>
        <w:t xml:space="preserve">Ontology-driven intent resolution</w:t>
      </w:r>
      <w:r>
        <w:rPr>
          <w:color w:val="33373E"/>
          <w:sz w:val="22"/>
          <w:szCs w:val="22"/>
        </w:rPr>
        <w:t xml:space="preserve"> — all KPI, term, and entity mappings managed in YAML.</w:t>
      </w:r>
    </w:p>
    <w:p>
      <w:pPr>
        <w:numPr>
          <w:ilvl w:val="0"/>
          <w:numId w:val="1"/>
        </w:numPr>
        <w:spacing w:after="60" w:line="264" w:lineRule="auto"/>
      </w:pPr>
      <w:r>
        <w:rPr>
          <w:b/>
          <w:color w:val="15171C"/>
          <w:sz w:val="22"/>
          <w:szCs w:val="22"/>
        </w:rPr>
        <w:t xml:space="preserve">Row-level security</w:t>
      </w:r>
      <w:r>
        <w:rPr>
          <w:color w:val="33373E"/>
          <w:sz w:val="22"/>
          <w:szCs w:val="22"/>
        </w:rPr>
        <w:t xml:space="preserve"> enforced at validation time, not by the LLM.</w:t>
      </w:r>
    </w:p>
    <w:p>
      <w:pPr>
        <w:numPr>
          <w:ilvl w:val="0"/>
          <w:numId w:val="1"/>
        </w:numPr>
        <w:spacing w:after="60" w:line="264" w:lineRule="auto"/>
      </w:pPr>
      <w:r>
        <w:rPr>
          <w:b/>
          <w:color w:val="15171C"/>
          <w:sz w:val="22"/>
          <w:szCs w:val="22"/>
        </w:rPr>
        <w:t xml:space="preserve">Zero Python code changes</w:t>
      </w:r>
      <w:r>
        <w:rPr>
          <w:color w:val="33373E"/>
          <w:sz w:val="22"/>
          <w:szCs w:val="22"/>
        </w:rPr>
        <w:t xml:space="preserve"> required to add a new KPI.</w:t>
      </w:r>
    </w:p>
    <w:p>
      <w:pPr>
        <w:numPr>
          <w:ilvl w:val="0"/>
          <w:numId w:val="1"/>
        </w:numPr>
        <w:spacing w:after="60" w:line="264" w:lineRule="auto"/>
      </w:pPr>
      <w:r>
        <w:rPr>
          <w:b/>
          <w:color w:val="15171C"/>
          <w:sz w:val="22"/>
          <w:szCs w:val="22"/>
        </w:rPr>
        <w:t xml:space="preserve">Full audit trail</w:t>
      </w:r>
      <w:r>
        <w:rPr>
          <w:color w:val="33373E"/>
          <w:sz w:val="22"/>
          <w:szCs w:val="22"/>
        </w:rPr>
        <w:t xml:space="preserve"> — question, extracted intent, generated SQL, and latency returned in every response.</w:t>
      </w:r>
    </w:p>
    <w:p>
      <w:pPr>
        <w:pStyle w:val="Heading1"/>
        <w:spacing w:before="420" w:after="40"/>
        <w:pBdr>
          <w:bottom w:val="single" w:sz="6" w:space="6" w:color="E2E5EA"/>
        </w:pBdr>
        <w:keepNext/>
      </w:pPr>
      <w:r>
        <w:rPr>
          <w:b/>
          <w:caps/>
          <w:color w:val="D5271A"/>
          <w:sz w:val="17"/>
          <w:szCs w:val="17"/>
          <w:spacing w:val="24"/>
        </w:rPr>
        <w:t xml:space="preserve">SECTION 02</w:t>
      </w:r>
    </w:p>
    <w:p>
      <w:pPr>
        <w:spacing w:before="60" w:after="160"/>
        <w:keepNext/>
      </w:pPr>
      <w:r>
        <w:rPr>
          <w:b/>
          <w:color w:val="9BA0A9"/>
          <w:sz w:val="30"/>
          <w:szCs w:val="30"/>
        </w:rPr>
        <w:t xml:space="preserve">02   </w:t>
      </w:r>
      <w:r>
        <w:rPr>
          <w:b/>
          <w:color w:val="15171C"/>
          <w:sz w:val="38"/>
          <w:szCs w:val="38"/>
        </w:rPr>
        <w:t xml:space="preserve">System Architecture</w:t>
      </w:r>
    </w:p>
    <w:p>
      <w:pPr>
        <w:spacing w:after="140" w:line="276" w:lineRule="auto"/>
      </w:pPr>
      <w:r>
        <w:rPr>
          <w:color w:val="33373E"/>
          <w:sz w:val="22"/>
          <w:szCs w:val="22"/>
        </w:rPr>
        <w:t xml:space="preserve">The system comprises five integrated components. YAML files act as the single source of truth, Neo4j holds the runtime graph, FastAPI orchestrates the pipeline, Azure OpenAI generates SQL, and Snowflake executes it.</w:t>
      </w:r>
    </w:p>
    <w:p>
      <w:pPr>
        <w:spacing w:before="280" w:after="120"/>
        <w:keepNext/>
      </w:pPr>
      <w:r>
        <w:rPr>
          <w:b/>
          <w:color w:val="15171C"/>
          <w:sz w:val="27"/>
          <w:szCs w:val="27"/>
        </w:rPr>
        <w:t xml:space="preserve">2.1   Component Overview</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1700"/>
        <w:gridCol w:w="1760"/>
        <w:gridCol w:w="5900"/>
      </w:tblGrid>
      <w:tr>
        <w:trPr>
          <w:tblHeader/>
        </w:trPr>
        <w:tc>
          <w:tcPr>
            <w:tcW w:w="17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Component</w:t>
            </w:r>
          </w:p>
        </w:tc>
        <w:tc>
          <w:tcPr>
            <w:tcW w:w="17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Role</w:t>
            </w:r>
          </w:p>
        </w:tc>
        <w:tc>
          <w:tcPr>
            <w:tcW w:w="59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Key Responsibility</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YAML Files</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Source of Truth</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Defines ontology: views, joins, terms, KPIs, roles, disambiguation rules.</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Neo4j</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Graph Database</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Stores ontology as nodes &amp; relationships. Queried at runtime for KPI recipes and at startup for term dictionaries.</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FastAPI App</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Orchestrator</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Runs the 7-step pipeline on </w:t>
            </w:r>
            <w:r>
              <w:rPr>
                <w:rFonts w:ascii="Consolas" w:hAnsi="Consolas" w:cs="Consolas"/>
                <w:color w:val="B4231A"/>
                <w:sz w:val="19"/>
                <w:szCs w:val="19"/>
              </w:rPr>
              <w:t xml:space="preserve">POST /api/ask</w:t>
            </w:r>
            <w:r>
              <w:rPr>
                <w:color w:val="33373E"/>
                <w:sz w:val="20"/>
                <w:szCs w:val="20"/>
              </w:rPr>
              <w:t xml:space="preserve">. Coordinates all components sequentially.</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Azure OpenAI</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SQL Assembler (LLM)</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Receives </w:t>
            </w:r>
            <w:r>
              <w:rPr>
                <w:rFonts w:ascii="Consolas" w:hAnsi="Consolas" w:cs="Consolas"/>
                <w:color w:val="B4231A"/>
                <w:sz w:val="19"/>
                <w:szCs w:val="19"/>
              </w:rPr>
              <w:t xml:space="preserve">StructuredContext</w:t>
            </w:r>
            <w:r>
              <w:rPr>
                <w:color w:val="33373E"/>
                <w:sz w:val="20"/>
                <w:szCs w:val="20"/>
              </w:rPr>
              <w:t xml:space="preserve"> only — never raw user input. </w:t>
            </w:r>
            <w:r>
              <w:rPr>
                <w:rFonts w:ascii="Consolas" w:hAnsi="Consolas" w:cs="Consolas"/>
                <w:color w:val="B4231A"/>
                <w:sz w:val="19"/>
                <w:szCs w:val="19"/>
              </w:rPr>
              <w:t xml:space="preserve">Temperature=0</w:t>
            </w:r>
            <w:r>
              <w:rPr>
                <w:color w:val="33373E"/>
                <w:sz w:val="20"/>
                <w:szCs w:val="20"/>
              </w:rPr>
              <w:t xml:space="preserve"> for deterministic SQL output.</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Snowflake</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Data Warehouse</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Executes validated SQL. 4 pre-defined views; connection pooling; 10s query timeout.</w:t>
            </w:r>
          </w:p>
        </w:tc>
      </w:tr>
      <w:tr>
        <w:tc>
          <w:tcPr>
            <w:tcW w:w="1700" w:type="dxa"/>
            <w:tcMar>
              <w:top w:w="80" w:type="dxa"/>
              <w:left w:w="130" w:type="dxa"/>
              <w:bottom w:w="80" w:type="dxa"/>
              <w:right w:w="130" w:type="dxa"/>
            </w:tcMar>
            <w:vAlign w:val="center"/>
          </w:tcPr>
          <w:p>
            <w:pPr>
              <w:spacing w:after="0" w:line="252" w:lineRule="auto"/>
            </w:pPr>
            <w:r>
              <w:rPr>
                <w:b/>
                <w:color w:val="15171C"/>
                <w:sz w:val="20"/>
                <w:szCs w:val="20"/>
              </w:rPr>
              <w:t xml:space="preserve">Browser Client</w:t>
            </w:r>
          </w:p>
        </w:tc>
        <w:tc>
          <w:tcPr>
            <w:tcW w:w="1760" w:type="dxa"/>
            <w:tcMar>
              <w:top w:w="80" w:type="dxa"/>
              <w:left w:w="130" w:type="dxa"/>
              <w:bottom w:w="80" w:type="dxa"/>
              <w:right w:w="130" w:type="dxa"/>
            </w:tcMar>
            <w:vAlign w:val="center"/>
          </w:tcPr>
          <w:p>
            <w:pPr>
              <w:spacing w:after="0" w:line="252" w:lineRule="auto"/>
            </w:pPr>
            <w:r>
              <w:rPr>
                <w:color w:val="33373E"/>
                <w:sz w:val="20"/>
                <w:szCs w:val="20"/>
              </w:rPr>
              <w:t xml:space="preserve">User Interface</w:t>
            </w:r>
          </w:p>
        </w:tc>
        <w:tc>
          <w:tcPr>
            <w:tcW w:w="5900" w:type="dxa"/>
            <w:tcMar>
              <w:top w:w="80" w:type="dxa"/>
              <w:left w:w="130" w:type="dxa"/>
              <w:bottom w:w="80" w:type="dxa"/>
              <w:right w:w="130" w:type="dxa"/>
            </w:tcMar>
            <w:vAlign w:val="center"/>
          </w:tcPr>
          <w:p>
            <w:pPr>
              <w:spacing w:after="0" w:line="252" w:lineRule="auto"/>
            </w:pPr>
            <w:r>
              <w:rPr>
                <w:color w:val="33373E"/>
                <w:sz w:val="20"/>
                <w:szCs w:val="20"/>
              </w:rPr>
              <w:t xml:space="preserve">Sends </w:t>
            </w:r>
            <w:r>
              <w:rPr>
                <w:rFonts w:ascii="Consolas" w:hAnsi="Consolas" w:cs="Consolas"/>
                <w:color w:val="B4231A"/>
                <w:sz w:val="19"/>
                <w:szCs w:val="19"/>
              </w:rPr>
              <w:t xml:space="preserve">POST /api/ask {question, user_id}</w:t>
            </w:r>
            <w:r>
              <w:rPr>
                <w:color w:val="33373E"/>
                <w:sz w:val="20"/>
                <w:szCs w:val="20"/>
              </w:rPr>
              <w:t xml:space="preserve">. Receives </w:t>
            </w:r>
            <w:r>
              <w:rPr>
                <w:rFonts w:ascii="Consolas" w:hAnsi="Consolas" w:cs="Consolas"/>
                <w:color w:val="B4231A"/>
                <w:sz w:val="19"/>
                <w:szCs w:val="19"/>
              </w:rPr>
              <w:t xml:space="preserve">PipelineResponse</w:t>
            </w:r>
            <w:r>
              <w:rPr>
                <w:color w:val="33373E"/>
                <w:sz w:val="20"/>
                <w:szCs w:val="20"/>
              </w:rPr>
              <w:t xml:space="preserve"> with SQL, data, and latency metrics.</w:t>
            </w:r>
          </w:p>
        </w:tc>
      </w:tr>
    </w:tbl>
    <w:p>
      <w:pPr>
        <w:spacing w:before="280" w:after="120"/>
        <w:keepNext/>
      </w:pPr>
      <w:r>
        <w:rPr>
          <w:b/>
          <w:color w:val="15171C"/>
          <w:sz w:val="27"/>
          <w:szCs w:val="27"/>
        </w:rPr>
        <w:t xml:space="preserve">Data flow</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2900"/>
        <w:gridCol w:w="360"/>
        <w:gridCol w:w="2900"/>
        <w:gridCol w:w="360"/>
        <w:gridCol w:w="2840"/>
      </w:tblGrid>
      <w:tr>
        <w:tc>
          <w:tcPr>
            <w:tcW w:w="2900" w:type="dxa"/>
            <w:shd w:val="clear" w:color="auto" w:fill="F4F6F8"/>
            <w:tcMar>
              <w:top w:w="80" w:type="dxa"/>
              <w:left w:w="130" w:type="dxa"/>
              <w:bottom w:w="80" w:type="dxa"/>
              <w:right w:w="130" w:type="dxa"/>
            </w:tcMar>
            <w:vAlign w:val="center"/>
          </w:tcPr>
          <w:p>
            <w:pPr>
              <w:spacing w:after="0"/>
              <w:jc w:val="center"/>
            </w:pPr>
            <w:r>
              <w:rPr>
                <w:b/>
                <w:color w:val="15171C"/>
                <w:sz w:val="20"/>
                <w:szCs w:val="20"/>
              </w:rPr>
              <w:t xml:space="preserve">YAML Files</w:t>
            </w:r>
          </w:p>
        </w:tc>
        <w:tc>
          <w:tcPr>
            <w:tcW w:w="360" w:type="dxa"/>
            <w:tcMar>
              <w:top w:w="80" w:type="dxa"/>
              <w:left w:w="130" w:type="dxa"/>
              <w:bottom w:w="80" w:type="dxa"/>
              <w:right w:w="130" w:type="dxa"/>
            </w:tcMar>
            <w:vAlign w:val="center"/>
          </w:tcPr>
          <w:p>
            <w:pPr>
              <w:spacing w:after="0"/>
              <w:jc w:val="center"/>
            </w:pPr>
            <w:r>
              <w:rPr>
                <w:b/>
                <w:color w:val="D5271A"/>
                <w:sz w:val="24"/>
                <w:szCs w:val="24"/>
              </w:rPr>
              <w:t xml:space="preserve">→</w:t>
            </w:r>
          </w:p>
        </w:tc>
        <w:tc>
          <w:tcPr>
            <w:tcW w:w="2900" w:type="dxa"/>
            <w:shd w:val="clear" w:color="auto" w:fill="F4F6F8"/>
            <w:tcMar>
              <w:top w:w="80" w:type="dxa"/>
              <w:left w:w="130" w:type="dxa"/>
              <w:bottom w:w="80" w:type="dxa"/>
              <w:right w:w="130" w:type="dxa"/>
            </w:tcMar>
            <w:vAlign w:val="center"/>
          </w:tcPr>
          <w:p>
            <w:pPr>
              <w:spacing w:after="0"/>
              <w:jc w:val="center"/>
            </w:pPr>
            <w:r>
              <w:rPr>
                <w:b/>
                <w:color w:val="15171C"/>
                <w:sz w:val="20"/>
                <w:szCs w:val="20"/>
              </w:rPr>
              <w:t xml:space="preserve">Neo4j</w:t>
            </w:r>
          </w:p>
        </w:tc>
        <w:tc>
          <w:tcPr>
            <w:tcW w:w="360" w:type="dxa"/>
            <w:tcMar>
              <w:top w:w="80" w:type="dxa"/>
              <w:left w:w="130" w:type="dxa"/>
              <w:bottom w:w="80" w:type="dxa"/>
              <w:right w:w="130" w:type="dxa"/>
            </w:tcMar>
            <w:vAlign w:val="center"/>
          </w:tcPr>
          <w:p>
            <w:pPr>
              <w:spacing w:after="0"/>
              <w:jc w:val="center"/>
            </w:pPr>
            <w:r>
              <w:rPr>
                <w:b/>
                <w:color w:val="D5271A"/>
                <w:sz w:val="24"/>
                <w:szCs w:val="24"/>
              </w:rPr>
              <w:t xml:space="preserve">→</w:t>
            </w:r>
          </w:p>
        </w:tc>
        <w:tc>
          <w:tcPr>
            <w:tcW w:w="284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FastAPI App</w:t>
            </w:r>
          </w:p>
        </w:tc>
      </w:tr>
    </w:tbl>
    <w:p>
      <w:pPr>
        <w:spacing w:before="30" w:after="80"/>
        <w:jc w:val="center"/>
      </w:pPr>
      <w:r>
        <w:rPr>
          <w:i/>
          <w:caps/>
          <w:color w:val="9BA0A9"/>
          <w:sz w:val="17"/>
          <w:szCs w:val="17"/>
          <w:spacing w:val="18"/>
        </w:rPr>
        <w:t xml:space="preserve">seed  ·  startup</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2540"/>
        <w:gridCol w:w="300"/>
        <w:gridCol w:w="2540"/>
        <w:gridCol w:w="300"/>
        <w:gridCol w:w="2540"/>
        <w:gridCol w:w="300"/>
        <w:gridCol w:w="2540"/>
      </w:tblGrid>
      <w:tr>
        <w:tc>
          <w:tcPr>
            <w:tcW w:w="2200" w:type="dxa"/>
            <w:shd w:val="clear" w:color="auto" w:fill="F4F6F8"/>
            <w:tcMar>
              <w:top w:w="80" w:type="dxa"/>
              <w:left w:w="130" w:type="dxa"/>
              <w:bottom w:w="80" w:type="dxa"/>
              <w:right w:w="130" w:type="dxa"/>
            </w:tcMar>
            <w:vAlign w:val="center"/>
          </w:tcPr>
          <w:p>
            <w:pPr>
              <w:spacing w:after="0"/>
              <w:jc w:val="center"/>
            </w:pPr>
            <w:r>
              <w:rPr>
                <w:b/>
                <w:color w:val="15171C"/>
                <w:sz w:val="19"/>
                <w:szCs w:val="19"/>
              </w:rPr>
              <w:t xml:space="preserve">Browser Client</w:t>
            </w:r>
          </w:p>
        </w:tc>
        <w:tc>
          <w:tcPr>
            <w:tcW w:w="300" w:type="dxa"/>
            <w:tcMar>
              <w:top w:w="80" w:type="dxa"/>
              <w:left w:w="130" w:type="dxa"/>
              <w:bottom w:w="80" w:type="dxa"/>
              <w:right w:w="130" w:type="dxa"/>
            </w:tcMar>
            <w:vAlign w:val="center"/>
          </w:tcPr>
          <w:p>
            <w:pPr>
              <w:spacing w:after="0"/>
              <w:jc w:val="center"/>
            </w:pPr>
            <w:r>
              <w:rPr>
                <w:b/>
                <w:color w:val="D5271A"/>
                <w:sz w:val="22"/>
                <w:szCs w:val="22"/>
              </w:rPr>
              <w:t xml:space="preserve">→</w:t>
            </w:r>
          </w:p>
        </w:tc>
        <w:tc>
          <w:tcPr>
            <w:tcW w:w="2200" w:type="dxa"/>
            <w:shd w:val="clear" w:color="auto" w:fill="D5271A"/>
            <w:tcMar>
              <w:top w:w="80" w:type="dxa"/>
              <w:left w:w="130" w:type="dxa"/>
              <w:bottom w:w="80" w:type="dxa"/>
              <w:right w:w="130" w:type="dxa"/>
            </w:tcMar>
            <w:vAlign w:val="center"/>
          </w:tcPr>
          <w:p>
            <w:pPr>
              <w:spacing w:after="0"/>
              <w:jc w:val="center"/>
            </w:pPr>
            <w:r>
              <w:rPr>
                <w:b/>
                <w:color w:val="FFFFFF"/>
                <w:sz w:val="19"/>
                <w:szCs w:val="19"/>
              </w:rPr>
              <w:t xml:space="preserve">FastAPI App</w:t>
            </w:r>
          </w:p>
        </w:tc>
        <w:tc>
          <w:tcPr>
            <w:tcW w:w="300" w:type="dxa"/>
            <w:tcMar>
              <w:top w:w="80" w:type="dxa"/>
              <w:left w:w="130" w:type="dxa"/>
              <w:bottom w:w="80" w:type="dxa"/>
              <w:right w:w="130" w:type="dxa"/>
            </w:tcMar>
            <w:vAlign w:val="center"/>
          </w:tcPr>
          <w:p>
            <w:pPr>
              <w:spacing w:after="0"/>
              <w:jc w:val="center"/>
            </w:pPr>
            <w:r>
              <w:rPr>
                <w:b/>
                <w:color w:val="D5271A"/>
                <w:sz w:val="22"/>
                <w:szCs w:val="22"/>
              </w:rPr>
              <w:t xml:space="preserve">→</w:t>
            </w:r>
          </w:p>
        </w:tc>
        <w:tc>
          <w:tcPr>
            <w:tcW w:w="2200" w:type="dxa"/>
            <w:shd w:val="clear" w:color="auto" w:fill="E7F0F8"/>
            <w:tcMar>
              <w:top w:w="80" w:type="dxa"/>
              <w:left w:w="130" w:type="dxa"/>
              <w:bottom w:w="80" w:type="dxa"/>
              <w:right w:w="130" w:type="dxa"/>
            </w:tcMar>
            <w:vAlign w:val="center"/>
          </w:tcPr>
          <w:p>
            <w:pPr>
              <w:spacing w:after="0"/>
              <w:jc w:val="center"/>
            </w:pPr>
            <w:r>
              <w:rPr>
                <w:b/>
                <w:color w:val="13507F"/>
                <w:sz w:val="19"/>
                <w:szCs w:val="19"/>
              </w:rPr>
              <w:t xml:space="preserve">Azure OpenAI</w:t>
            </w:r>
          </w:p>
        </w:tc>
        <w:tc>
          <w:tcPr>
            <w:tcW w:w="300" w:type="dxa"/>
            <w:tcMar>
              <w:top w:w="80" w:type="dxa"/>
              <w:left w:w="130" w:type="dxa"/>
              <w:bottom w:w="80" w:type="dxa"/>
              <w:right w:w="130" w:type="dxa"/>
            </w:tcMar>
            <w:vAlign w:val="center"/>
          </w:tcPr>
          <w:p>
            <w:pPr>
              <w:spacing w:after="0"/>
              <w:jc w:val="center"/>
            </w:pPr>
            <w:r>
              <w:rPr>
                <w:b/>
                <w:color w:val="D5271A"/>
                <w:sz w:val="22"/>
                <w:szCs w:val="22"/>
              </w:rPr>
              <w:t xml:space="preserve">→</w:t>
            </w:r>
          </w:p>
        </w:tc>
        <w:tc>
          <w:tcPr>
            <w:tcW w:w="1960" w:type="dxa"/>
            <w:shd w:val="clear" w:color="auto" w:fill="F4F6F8"/>
            <w:tcMar>
              <w:top w:w="80" w:type="dxa"/>
              <w:left w:w="130" w:type="dxa"/>
              <w:bottom w:w="80" w:type="dxa"/>
              <w:right w:w="130" w:type="dxa"/>
            </w:tcMar>
            <w:vAlign w:val="center"/>
          </w:tcPr>
          <w:p>
            <w:pPr>
              <w:spacing w:after="0"/>
              <w:jc w:val="center"/>
            </w:pPr>
            <w:r>
              <w:rPr>
                <w:b/>
                <w:color w:val="15171C"/>
                <w:sz w:val="19"/>
                <w:szCs w:val="19"/>
              </w:rPr>
              <w:t xml:space="preserve">Snowflake</w:t>
            </w:r>
          </w:p>
        </w:tc>
      </w:tr>
    </w:tbl>
    <w:p>
      <w:pPr>
        <w:spacing w:before="30" w:after="120"/>
        <w:jc w:val="center"/>
      </w:pPr>
      <w:r>
        <w:rPr>
          <w:i/>
          <w:caps/>
          <w:color w:val="9BA0A9"/>
          <w:sz w:val="17"/>
          <w:szCs w:val="17"/>
          <w:spacing w:val="18"/>
        </w:rPr>
        <w:t xml:space="preserve">per request  ·  runtime</w:t>
      </w:r>
    </w:p>
    <w:p>
      <w:pPr>
        <w:spacing w:before="280" w:after="120"/>
        <w:keepNext/>
      </w:pPr>
      <w:r>
        <w:rPr>
          <w:b/>
          <w:color w:val="15171C"/>
          <w:sz w:val="27"/>
          <w:szCs w:val="27"/>
        </w:rPr>
        <w:t xml:space="preserve">2.2   Data Flow Summary</w:t>
      </w:r>
    </w:p>
    <w:p>
      <w:pPr>
        <w:spacing w:after="140" w:line="276" w:lineRule="auto"/>
      </w:pPr>
      <w:r>
        <w:rPr>
          <w:color w:val="33373E"/>
          <w:sz w:val="22"/>
          <w:szCs w:val="22"/>
        </w:rPr>
        <w:t xml:space="preserve">At startup, YAML files are seeded into Neo4j. At query time, the FastAPI pipeline resolves intent from the question, retrieves the KPI recipe from Neo4j, builds a structured context, sends it to Azure OpenAI for SQL generation, validates the SQL, and executes it against Snowflake.</w:t>
      </w:r>
    </w:p>
    <w:p>
      <w:pPr>
        <w:pStyle w:val="Heading1"/>
        <w:spacing w:before="420" w:after="40"/>
        <w:pBdr>
          <w:bottom w:val="single" w:sz="6" w:space="6" w:color="E2E5EA"/>
        </w:pBdr>
        <w:keepNext/>
      </w:pPr>
      <w:r>
        <w:rPr>
          <w:b/>
          <w:caps/>
          <w:color w:val="D5271A"/>
          <w:sz w:val="17"/>
          <w:szCs w:val="17"/>
          <w:spacing w:val="24"/>
        </w:rPr>
        <w:t xml:space="preserve">SECTION 03</w:t>
      </w:r>
    </w:p>
    <w:p>
      <w:pPr>
        <w:spacing w:before="60" w:after="160"/>
        <w:keepNext/>
      </w:pPr>
      <w:r>
        <w:rPr>
          <w:b/>
          <w:color w:val="9BA0A9"/>
          <w:sz w:val="30"/>
          <w:szCs w:val="30"/>
        </w:rPr>
        <w:t xml:space="preserve">03   </w:t>
      </w:r>
      <w:r>
        <w:rPr>
          <w:b/>
          <w:color w:val="15171C"/>
          <w:sz w:val="38"/>
          <w:szCs w:val="38"/>
        </w:rPr>
        <w:t xml:space="preserve">Phase 0 · Ontology Seeding</w:t>
      </w:r>
    </w:p>
    <w:p>
      <w:pPr>
        <w:spacing w:after="140" w:line="276" w:lineRule="auto"/>
      </w:pPr>
      <w:r>
        <w:rPr>
          <w:color w:val="33373E"/>
          <w:sz w:val="22"/>
          <w:szCs w:val="22"/>
        </w:rPr>
        <w:t xml:space="preserve">The seed process reads all YAML ontology files and loads them into Neo4j as a graph structure. It must be re-run whenever YAML files change. The operation is fully idempotent — it clears and reloads the entire graph, completing in approximately 10 seconds.</w:t>
      </w:r>
    </w:p>
    <w:p>
      <w:pPr>
        <w:spacing w:before="140" w:after="0" w:line="240" w:lineRule="auto"/>
        <w:ind w:left="60"/>
        <w:shd w:val="clear" w:color="auto" w:fill="14161B"/>
      </w:pPr>
      <w:r>
        <w:rPr>
          <w:b/>
          <w:caps/>
          <w:color w:val="8C93A1"/>
          <w:sz w:val="16"/>
          <w:szCs w:val="16"/>
          <w:spacing w:val="24"/>
        </w:rPr>
        <w:t xml:space="preserve">Command</w:t>
      </w:r>
    </w:p>
    <w:p>
      <w:pPr>
        <w:spacing w:after="160" w:line="264" w:lineRule="auto"/>
        <w:ind w:left="60"/>
        <w:shd w:val="clear" w:color="auto" w:fill="14161B"/>
      </w:pPr>
      <w:r>
        <w:rPr>
          <w:rFonts w:ascii="Consolas" w:hAnsi="Consolas" w:cs="Consolas"/>
          <w:color w:val="D7DCE5"/>
          <w:sz w:val="19"/>
          <w:szCs w:val="19"/>
        </w:rPr>
        <w:t xml:space="preserve">python -m scripts.seed_ontology</w:t>
      </w:r>
    </w:p>
    <w:p>
      <w:pPr>
        <w:spacing w:before="280" w:after="120"/>
        <w:keepNext/>
      </w:pPr>
      <w:r>
        <w:rPr>
          <w:b/>
          <w:color w:val="15171C"/>
          <w:sz w:val="27"/>
          <w:szCs w:val="27"/>
        </w:rPr>
        <w:t xml:space="preserve">3.1   YAML File Inventory</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3100"/>
        <w:gridCol w:w="3260"/>
        <w:gridCol w:w="3000"/>
      </w:tblGrid>
      <w:tr>
        <w:trPr>
          <w:tblHeader/>
        </w:trPr>
        <w:tc>
          <w:tcPr>
            <w:tcW w:w="31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YAML File</w:t>
            </w:r>
          </w:p>
        </w:tc>
        <w:tc>
          <w:tcPr>
            <w:tcW w:w="32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Content</w:t>
            </w:r>
          </w:p>
        </w:tc>
        <w:tc>
          <w:tcPr>
            <w:tcW w:w="30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Example</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ontology/schema/views.yaml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Snowflake view definitions (names, columns, types)</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DIMHISTORYEMPLOYEE_V with 34 columns</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ontology/schema/joins.yaml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Join conditions between views</w:t>
            </w:r>
          </w:p>
        </w:tc>
        <w:tc>
          <w:tcPr>
            <w:tcW w:w="30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e.COSTCENTER = b.COSTCENTER</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ontology/schema/terms.yaml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Business terms, abbreviations, synonyms (~135 terms)</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HC = Headcount, ATL = Atlanta, OT = Overtime</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ontology/schema/disambiguation.yaml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Context-sensitive term resolution (~10 rules)</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REG = Regular Employee vs Regular Hours</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ontology/kpis/attrition.yaml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KPI recipe: formula, steps, filters, output shape for attrition domain</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Attrition Rate, Turnover Rate</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ontology/kpis/contract_hierarchy.yaml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KPI recipes for org hierarchy domain</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List contracts, count contracts</w:t>
            </w:r>
          </w:p>
        </w:tc>
      </w:tr>
      <w:tr>
        <w:tc>
          <w:tcPr>
            <w:tcW w:w="31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ontology/security/roles.yaml</w:t>
            </w:r>
          </w:p>
        </w:tc>
        <w:tc>
          <w:tcPr>
            <w:tcW w:w="3260" w:type="dxa"/>
            <w:tcMar>
              <w:top w:w="80" w:type="dxa"/>
              <w:left w:w="130" w:type="dxa"/>
              <w:bottom w:w="80" w:type="dxa"/>
              <w:right w:w="130" w:type="dxa"/>
            </w:tcMar>
            <w:vAlign w:val="center"/>
          </w:tcPr>
          <w:p>
            <w:pPr>
              <w:spacing w:after="0" w:line="252" w:lineRule="auto"/>
            </w:pPr>
            <w:r>
              <w:rPr>
                <w:color w:val="33373E"/>
                <w:sz w:val="20"/>
                <w:szCs w:val="20"/>
              </w:rPr>
              <w:t xml:space="preserve">User access control at station / customer level</w:t>
            </w:r>
          </w:p>
        </w:tc>
        <w:tc>
          <w:tcPr>
            <w:tcW w:w="3000" w:type="dxa"/>
            <w:tcMar>
              <w:top w:w="80" w:type="dxa"/>
              <w:left w:w="130" w:type="dxa"/>
              <w:bottom w:w="80" w:type="dxa"/>
              <w:right w:w="130" w:type="dxa"/>
            </w:tcMar>
            <w:vAlign w:val="center"/>
          </w:tcPr>
          <w:p>
            <w:pPr>
              <w:spacing w:after="0" w:line="252" w:lineRule="auto"/>
            </w:pPr>
            <w:r>
              <w:rPr>
                <w:color w:val="33373E"/>
                <w:sz w:val="20"/>
                <w:szCs w:val="20"/>
              </w:rPr>
              <w:t xml:space="preserve">ATL manager sees ATL only</w:t>
            </w:r>
          </w:p>
        </w:tc>
      </w:tr>
    </w:tbl>
    <w:p>
      <w:pPr>
        <w:spacing w:before="280" w:after="120"/>
        <w:keepNext/>
      </w:pPr>
      <w:r>
        <w:rPr>
          <w:b/>
          <w:color w:val="15171C"/>
          <w:sz w:val="27"/>
          <w:szCs w:val="27"/>
        </w:rPr>
        <w:t xml:space="preserve">3.2   Seeding Sequence</w:t>
      </w:r>
    </w:p>
    <w:p>
      <w:pPr>
        <w:spacing w:after="140" w:line="276" w:lineRule="auto"/>
      </w:pPr>
      <w:r>
        <w:rPr>
          <w:color w:val="33373E"/>
          <w:sz w:val="22"/>
          <w:szCs w:val="22"/>
        </w:rPr>
        <w:t xml:space="preserve">The seeder executes the following steps in order:</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900"/>
        <w:gridCol w:w="3400"/>
        <w:gridCol w:w="5060"/>
      </w:tblGrid>
      <w:tr>
        <w:trPr>
          <w:tblHeader/>
        </w:trPr>
        <w:tc>
          <w:tcPr>
            <w:tcW w:w="9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Step</w:t>
            </w:r>
          </w:p>
        </w:tc>
        <w:tc>
          <w:tcPr>
            <w:tcW w:w="34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Operation</w:t>
            </w:r>
          </w:p>
        </w:tc>
        <w:tc>
          <w:tcPr>
            <w:tcW w:w="50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Graph Action</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1</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_clear_ontology()</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MATCH (n) DETACH DELETE n — full graph reset</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2</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_load_views()</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4 :View nodes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3</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_load_joins()</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3 :JOINS_TO relationship paths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4</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_load_terms()</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~135 :Term nodes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5</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_load_disambiguation()</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~10 :DisambiguationRule nodes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6</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_load_kpis()</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:KPI, :KPIStep, :Filter nodes for 7 KPIs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7</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_load_roles()</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Creates 3 :User nodes with authorized scopes</w:t>
            </w:r>
          </w:p>
        </w:tc>
      </w:tr>
      <w:tr>
        <w:tc>
          <w:tcPr>
            <w:tcW w:w="90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8</w:t>
            </w:r>
          </w:p>
        </w:tc>
        <w:tc>
          <w:tcPr>
            <w:tcW w:w="34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validate_ontology()</w:t>
            </w:r>
          </w:p>
        </w:tc>
        <w:tc>
          <w:tcPr>
            <w:tcW w:w="5060" w:type="dxa"/>
            <w:tcMar>
              <w:top w:w="80" w:type="dxa"/>
              <w:left w:w="130" w:type="dxa"/>
              <w:bottom w:w="80" w:type="dxa"/>
              <w:right w:w="130" w:type="dxa"/>
            </w:tcMar>
            <w:vAlign w:val="center"/>
          </w:tcPr>
          <w:p>
            <w:pPr>
              <w:spacing w:after="0" w:line="252" w:lineRule="auto"/>
            </w:pPr>
            <w:r>
              <w:rPr>
                <w:color w:val="33373E"/>
                <w:sz w:val="20"/>
                <w:szCs w:val="20"/>
              </w:rPr>
              <w:t xml:space="preserve">Structural integrity checks on the complete graph</w:t>
            </w:r>
          </w:p>
        </w:tc>
      </w:tr>
    </w:tbl>
    <w:p>
      <w:pPr>
        <w:spacing w:before="280" w:after="120"/>
        <w:keepNext/>
      </w:pPr>
      <w:r>
        <w:rPr>
          <w:b/>
          <w:color w:val="15171C"/>
          <w:sz w:val="27"/>
          <w:szCs w:val="27"/>
        </w:rPr>
        <w:t xml:space="preserve">3.3   Neo4j Graph Schema</w:t>
      </w:r>
    </w:p>
    <w:p>
      <w:pPr>
        <w:spacing w:after="140" w:line="276" w:lineRule="auto"/>
      </w:pPr>
      <w:r>
        <w:rPr>
          <w:color w:val="33373E"/>
          <w:sz w:val="22"/>
          <w:szCs w:val="22"/>
        </w:rPr>
        <w:t xml:space="preserve">The ontology is stored as a property graph. The :KPI node is the anchor — at query time the recipe lookup traverses outward from it. The table below lists all node types and relationships.</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2700"/>
        <w:gridCol w:w="2860"/>
        <w:gridCol w:w="3800"/>
      </w:tblGrid>
      <w:tr>
        <w:trPr>
          <w:tblHeader/>
        </w:trPr>
        <w:tc>
          <w:tcPr>
            <w:tcW w:w="27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Node / Relationship</w:t>
            </w:r>
          </w:p>
        </w:tc>
        <w:tc>
          <w:tcPr>
            <w:tcW w:w="28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Properties / Direction</w:t>
            </w:r>
          </w:p>
        </w:tc>
        <w:tc>
          <w:tcPr>
            <w:tcW w:w="38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Purpose</w:t>
            </w:r>
          </w:p>
        </w:tc>
      </w:tr>
      <w:tr>
        <w:tc>
          <w:tcPr>
            <w:tcW w:w="9360" w:type="dxa"/>
            <w:gridSpan w:val="3"/>
            <w:shd w:val="clear" w:color="auto" w:fill="EEF0F3"/>
            <w:tcMar>
              <w:top w:w="80" w:type="dxa"/>
              <w:left w:w="130" w:type="dxa"/>
              <w:bottom w:w="80" w:type="dxa"/>
              <w:right w:w="130" w:type="dxa"/>
            </w:tcMar>
            <w:vAlign w:val="center"/>
          </w:tcPr>
          <w:p>
            <w:pPr>
              <w:spacing w:after="0"/>
            </w:pPr>
            <w:r>
              <w:rPr>
                <w:b/>
                <w:caps/>
                <w:color w:val="6A6F78"/>
                <w:sz w:val="16"/>
                <w:szCs w:val="16"/>
                <w:spacing w:val="20"/>
              </w:rPr>
              <w:t xml:space="preserve">NODES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:KPI</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id, name, formula, complexity</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Central recipe node; anchor of the ontology graph.</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:View</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name, schema, columns, alias</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Snowflake view definition; carries column metadata.</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:KPIStep</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order, logic, required_columns</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Ordered computation step within a KPI recipe.</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:Filter</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column, source, operator</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Pre-defined filter constraint used in WHERE clauses.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:Term</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code, canonical, category, column</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Business term / synonym mapping (e.g. ATL → STATIONCODE).</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:DisambiguationRule</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term, context, resolves_to, column</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Context-sensitive resolution (e.g. REG = Regular vs Regular Hours).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:User</w:t>
            </w:r>
          </w:p>
        </w:tc>
        <w:tc>
          <w:tcPr>
            <w:tcW w:w="2860" w:type="dxa"/>
            <w:tcMar>
              <w:top w:w="80" w:type="dxa"/>
              <w:left w:w="130" w:type="dxa"/>
              <w:bottom w:w="80" w:type="dxa"/>
              <w:right w:w="130" w:type="dxa"/>
            </w:tcMar>
            <w:vAlign w:val="center"/>
          </w:tcPr>
          <w:p>
            <w:pPr>
              <w:spacing w:after="0" w:line="252" w:lineRule="auto"/>
            </w:pPr>
            <w:r>
              <w:rPr>
                <w:color w:val="33373E"/>
                <w:sz w:val="20"/>
                <w:szCs w:val="20"/>
              </w:rPr>
              <w:t xml:space="preserve">user_id, email, authorized_stations</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Role-based access control; determines RLS scope.</w:t>
            </w:r>
          </w:p>
        </w:tc>
      </w:tr>
      <w:tr>
        <w:tc>
          <w:tcPr>
            <w:tcW w:w="9360" w:type="dxa"/>
            <w:gridSpan w:val="3"/>
            <w:shd w:val="clear" w:color="auto" w:fill="EEF0F3"/>
            <w:tcMar>
              <w:top w:w="80" w:type="dxa"/>
              <w:left w:w="130" w:type="dxa"/>
              <w:bottom w:w="80" w:type="dxa"/>
              <w:right w:w="130" w:type="dxa"/>
            </w:tcMar>
            <w:vAlign w:val="center"/>
          </w:tcPr>
          <w:p>
            <w:pPr>
              <w:spacing w:after="0"/>
            </w:pPr>
            <w:r>
              <w:rPr>
                <w:b/>
                <w:caps/>
                <w:color w:val="6A6F78"/>
                <w:sz w:val="16"/>
                <w:szCs w:val="16"/>
                <w:spacing w:val="20"/>
              </w:rPr>
              <w:t xml:space="preserve">RELATIONSHIPS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[:USES_VIEW]</w:t>
            </w:r>
          </w:p>
        </w:tc>
        <w:tc>
          <w:tcPr>
            <w:tcW w:w="2860" w:type="dxa"/>
            <w:tcMar>
              <w:top w:w="80" w:type="dxa"/>
              <w:left w:w="130" w:type="dxa"/>
              <w:bottom w:w="80" w:type="dxa"/>
              <w:right w:w="130" w:type="dxa"/>
            </w:tcMar>
            <w:vAlign w:val="center"/>
          </w:tcPr>
          <w:p>
            <w:pPr>
              <w:spacing w:after="0" w:line="252" w:lineRule="auto"/>
            </w:pPr>
            <w:r>
              <w:rPr>
                <w:rFonts w:ascii="Consolas" w:hAnsi="Consolas" w:cs="Consolas"/>
                <w:color w:val="6A6F78"/>
                <w:sz w:val="18"/>
                <w:szCs w:val="18"/>
              </w:rPr>
              <w:t xml:space="preserve">:KPI → :View</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Links a KPI to its required Snowflake views.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[:REQUIRES_STEP]</w:t>
            </w:r>
          </w:p>
        </w:tc>
        <w:tc>
          <w:tcPr>
            <w:tcW w:w="2860" w:type="dxa"/>
            <w:tcMar>
              <w:top w:w="80" w:type="dxa"/>
              <w:left w:w="130" w:type="dxa"/>
              <w:bottom w:w="80" w:type="dxa"/>
              <w:right w:w="130" w:type="dxa"/>
            </w:tcMar>
            <w:vAlign w:val="center"/>
          </w:tcPr>
          <w:p>
            <w:pPr>
              <w:spacing w:after="0" w:line="252" w:lineRule="auto"/>
            </w:pPr>
            <w:r>
              <w:rPr>
                <w:rFonts w:ascii="Consolas" w:hAnsi="Consolas" w:cs="Consolas"/>
                <w:color w:val="6A6F78"/>
                <w:sz w:val="18"/>
                <w:szCs w:val="18"/>
              </w:rPr>
              <w:t xml:space="preserve">:KPI → :KPIStep</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Ordered computation steps for the KPI formula.</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[:HAS_FILTER]</w:t>
            </w:r>
          </w:p>
        </w:tc>
        <w:tc>
          <w:tcPr>
            <w:tcW w:w="2860" w:type="dxa"/>
            <w:tcMar>
              <w:top w:w="80" w:type="dxa"/>
              <w:left w:w="130" w:type="dxa"/>
              <w:bottom w:w="80" w:type="dxa"/>
              <w:right w:w="130" w:type="dxa"/>
            </w:tcMar>
            <w:vAlign w:val="center"/>
          </w:tcPr>
          <w:p>
            <w:pPr>
              <w:spacing w:after="0" w:line="252" w:lineRule="auto"/>
            </w:pPr>
            <w:r>
              <w:rPr>
                <w:rFonts w:ascii="Consolas" w:hAnsi="Consolas" w:cs="Consolas"/>
                <w:color w:val="6A6F78"/>
                <w:sz w:val="18"/>
                <w:szCs w:val="18"/>
              </w:rPr>
              <w:t xml:space="preserve">:KPI → :Filter</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Default and mandatory filter constraints.</w:t>
            </w:r>
          </w:p>
        </w:tc>
      </w:tr>
      <w:tr>
        <w:tc>
          <w:tcPr>
            <w:tcW w:w="2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[:JOINS_TO]</w:t>
            </w:r>
          </w:p>
        </w:tc>
        <w:tc>
          <w:tcPr>
            <w:tcW w:w="2860" w:type="dxa"/>
            <w:tcMar>
              <w:top w:w="80" w:type="dxa"/>
              <w:left w:w="130" w:type="dxa"/>
              <w:bottom w:w="80" w:type="dxa"/>
              <w:right w:w="130" w:type="dxa"/>
            </w:tcMar>
            <w:vAlign w:val="center"/>
          </w:tcPr>
          <w:p>
            <w:pPr>
              <w:spacing w:after="0" w:line="252" w:lineRule="auto"/>
            </w:pPr>
            <w:r>
              <w:rPr>
                <w:rFonts w:ascii="Consolas" w:hAnsi="Consolas" w:cs="Consolas"/>
                <w:color w:val="6A6F78"/>
                <w:sz w:val="18"/>
                <w:szCs w:val="18"/>
              </w:rPr>
              <w:t xml:space="preserve">:View → :View</w:t>
            </w:r>
          </w:p>
        </w:tc>
        <w:tc>
          <w:tcPr>
            <w:tcW w:w="3800" w:type="dxa"/>
            <w:tcMar>
              <w:top w:w="80" w:type="dxa"/>
              <w:left w:w="130" w:type="dxa"/>
              <w:bottom w:w="80" w:type="dxa"/>
              <w:right w:w="130" w:type="dxa"/>
            </w:tcMar>
            <w:vAlign w:val="center"/>
          </w:tcPr>
          <w:p>
            <w:pPr>
              <w:spacing w:after="0" w:line="252" w:lineRule="auto"/>
            </w:pPr>
            <w:r>
              <w:rPr>
                <w:color w:val="33373E"/>
                <w:sz w:val="20"/>
                <w:szCs w:val="20"/>
              </w:rPr>
              <w:t xml:space="preserve">Join condition and type between two views.</w:t>
            </w:r>
          </w:p>
        </w:tc>
      </w:tr>
    </w:tbl>
    <w:p>
      <w:pPr>
        <w:pStyle w:val="Heading1"/>
        <w:spacing w:before="420" w:after="40"/>
        <w:pBdr>
          <w:bottom w:val="single" w:sz="6" w:space="6" w:color="E2E5EA"/>
        </w:pBdr>
        <w:keepNext/>
      </w:pPr>
      <w:r>
        <w:rPr>
          <w:b/>
          <w:caps/>
          <w:color w:val="D5271A"/>
          <w:sz w:val="17"/>
          <w:szCs w:val="17"/>
          <w:spacing w:val="24"/>
        </w:rPr>
        <w:t xml:space="preserve">SECTION 04</w:t>
      </w:r>
    </w:p>
    <w:p>
      <w:pPr>
        <w:spacing w:before="60" w:after="160"/>
        <w:keepNext/>
      </w:pPr>
      <w:r>
        <w:rPr>
          <w:b/>
          <w:color w:val="9BA0A9"/>
          <w:sz w:val="30"/>
          <w:szCs w:val="30"/>
        </w:rPr>
        <w:t xml:space="preserve">04   </w:t>
      </w:r>
      <w:r>
        <w:rPr>
          <w:b/>
          <w:color w:val="15171C"/>
          <w:sz w:val="38"/>
          <w:szCs w:val="38"/>
        </w:rPr>
        <w:t xml:space="preserve">Runtime Pipeline</w:t>
      </w:r>
    </w:p>
    <w:p>
      <w:pPr>
        <w:spacing w:after="140" w:line="276" w:lineRule="auto"/>
      </w:pPr>
      <w:r>
        <w:rPr>
          <w:color w:val="33373E"/>
          <w:sz w:val="22"/>
          <w:szCs w:val="22"/>
        </w:rPr>
        <w:t xml:space="preserve">The pipeline orchestrator </w:t>
      </w:r>
      <w:r>
        <w:rPr>
          <w:rFonts w:ascii="Consolas" w:hAnsi="Consolas" w:cs="Consolas"/>
          <w:color w:val="B4231A"/>
          <w:sz w:val="19"/>
          <w:szCs w:val="19"/>
        </w:rPr>
        <w:t xml:space="preserve">core/pipeline.py</w:t>
      </w:r>
      <w:r>
        <w:rPr>
          <w:color w:val="33373E"/>
          <w:sz w:val="22"/>
          <w:szCs w:val="22"/>
        </w:rPr>
        <w:t xml:space="preserve"> calls each of the seven steps sequentially. Each step produces a typed output consumed by the next step. A failure at any step returns an error to the user; no subsequent steps execute.</w:t>
      </w:r>
    </w:p>
    <w:p>
      <w:pPr>
        <w:spacing w:before="140" w:after="0" w:line="240" w:lineRule="auto"/>
        <w:ind w:left="60"/>
        <w:shd w:val="clear" w:color="auto" w:fill="14161B"/>
      </w:pPr>
      <w:r>
        <w:rPr>
          <w:b/>
          <w:caps/>
          <w:color w:val="8C93A1"/>
          <w:sz w:val="16"/>
          <w:szCs w:val="16"/>
          <w:spacing w:val="24"/>
        </w:rPr>
        <w:t xml:space="preserve">Entry point</w:t>
      </w:r>
    </w:p>
    <w:p>
      <w:pPr>
        <w:spacing w:after="0" w:line="264" w:lineRule="auto"/>
        <w:ind w:left="60"/>
        <w:shd w:val="clear" w:color="auto" w:fill="14161B"/>
      </w:pPr>
      <w:r>
        <w:rPr>
          <w:rFonts w:ascii="Consolas" w:hAnsi="Consolas" w:cs="Consolas"/>
          <w:color w:val="D7DCE5"/>
          <w:sz w:val="19"/>
          <w:szCs w:val="19"/>
        </w:rPr>
        <w:t xml:space="preserve">POST /api/ask</w:t>
      </w:r>
    </w:p>
    <w:p>
      <w:pPr>
        <w:spacing w:after="160" w:line="264" w:lineRule="auto"/>
        <w:ind w:left="60"/>
        <w:shd w:val="clear" w:color="auto" w:fill="14161B"/>
      </w:pPr>
      <w:r>
        <w:rPr>
          <w:rFonts w:ascii="Consolas" w:hAnsi="Consolas" w:cs="Consolas"/>
          <w:color w:val="D7DCE5"/>
          <w:sz w:val="19"/>
          <w:szCs w:val="19"/>
        </w:rPr>
        <w:t xml:space="preserve">{ "question": "...", "user_id": "..." }</w:t>
      </w:r>
    </w:p>
    <w:p>
      <w:pPr>
        <w:spacing w:before="280" w:after="120"/>
        <w:keepNext/>
      </w:pPr>
      <w:r>
        <w:rPr>
          <w:b/>
          <w:color w:val="15171C"/>
          <w:sz w:val="27"/>
          <w:szCs w:val="27"/>
        </w:rPr>
        <w:t xml:space="preserve">4.1   End-to-End Pipeline Flow</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820"/>
        <w:gridCol w:w="2600"/>
        <w:gridCol w:w="5940"/>
      </w:tblGrid>
      <w:tr>
        <w:trPr>
          <w:tblHeader/>
        </w:trPr>
        <w:tc>
          <w:tcPr>
            <w:tcW w:w="82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Step</w:t>
            </w:r>
          </w:p>
        </w:tc>
        <w:tc>
          <w:tcPr>
            <w:tcW w:w="26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Phase</w:t>
            </w:r>
          </w:p>
        </w:tc>
        <w:tc>
          <w:tcPr>
            <w:tcW w:w="594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What Happens</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1</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Intent Extraction</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Parses NL question → detects KPI, entities (stations / customers / periods), aggregation modifiers. Dictionary-based; fuzzy matching via rapidfuzz. No LLM involved.</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2</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KPI Recipe Lookup</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Queries Neo4j by kpi_id → retrieves formula, required views, ordered steps, and filter definitions for the matched KPI.</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3</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Context Building</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Merges extraction result + recipe. Resolves view names via views.yaml, attaches column metadata, builds pre-validated SQL WHERE clauses.</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4</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LLM SQL Generation</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Sends StructuredContext to Azure OpenAI (temp=0.0). LLM acts as SQL assembler — not an interpreter. Post-processes markdown fences and enforces canonical view names.</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5</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SQL Validation</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Checks for dangerous DML (DROP / DELETE / INSERT), validates all tables against the allowed-views list, enforces row-level security (STATIONCODE IN (...)).</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6</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Snowflake Execution</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Executes validated SQL against Snowflake (10s timeout, 50-row preview, 50K-row CSV export). Connection pooling enabled.</w:t>
            </w:r>
          </w:p>
        </w:tc>
      </w:tr>
      <w:tr>
        <w:tc>
          <w:tcPr>
            <w:tcW w:w="820" w:type="dxa"/>
            <w:shd w:val="clear" w:color="auto" w:fill="D5271A"/>
            <w:tcMar>
              <w:top w:w="80" w:type="dxa"/>
              <w:left w:w="130" w:type="dxa"/>
              <w:bottom w:w="80" w:type="dxa"/>
              <w:right w:w="130" w:type="dxa"/>
            </w:tcMar>
            <w:vAlign w:val="center"/>
          </w:tcPr>
          <w:p>
            <w:pPr>
              <w:spacing w:after="0"/>
              <w:jc w:val="center"/>
            </w:pPr>
            <w:r>
              <w:rPr>
                <w:b/>
                <w:color w:val="FFFFFF"/>
                <w:sz w:val="22"/>
                <w:szCs w:val="22"/>
              </w:rPr>
              <w:t xml:space="preserve">7</w:t>
            </w:r>
          </w:p>
        </w:tc>
        <w:tc>
          <w:tcPr>
            <w:tcW w:w="2600" w:type="dxa"/>
            <w:tcMar>
              <w:top w:w="80" w:type="dxa"/>
              <w:left w:w="130" w:type="dxa"/>
              <w:bottom w:w="80" w:type="dxa"/>
              <w:right w:w="130" w:type="dxa"/>
            </w:tcMar>
            <w:vAlign w:val="center"/>
          </w:tcPr>
          <w:p>
            <w:pPr>
              <w:spacing w:after="0" w:line="252" w:lineRule="auto"/>
            </w:pPr>
            <w:r>
              <w:rPr>
                <w:b/>
                <w:color w:val="15171C"/>
                <w:sz w:val="20"/>
                <w:szCs w:val="20"/>
              </w:rPr>
              <w:t xml:space="preserve">Response Assembly</w:t>
            </w:r>
          </w:p>
        </w:tc>
        <w:tc>
          <w:tcPr>
            <w:tcW w:w="5940" w:type="dxa"/>
            <w:tcMar>
              <w:top w:w="80" w:type="dxa"/>
              <w:left w:w="130" w:type="dxa"/>
              <w:bottom w:w="80" w:type="dxa"/>
              <w:right w:w="130" w:type="dxa"/>
            </w:tcMar>
            <w:vAlign w:val="center"/>
          </w:tcPr>
          <w:p>
            <w:pPr>
              <w:spacing w:after="0" w:line="252" w:lineRule="auto"/>
            </w:pPr>
            <w:r>
              <w:rPr>
                <w:color w:val="33373E"/>
                <w:sz w:val="20"/>
                <w:szCs w:val="20"/>
              </w:rPr>
              <w:t xml:space="preserve">Wraps results into PipelineResponse: { question, answer, sql, data, row_count, extraction, latency_ms } and returns to the browser client.</w:t>
            </w:r>
          </w:p>
        </w:tc>
      </w:tr>
    </w:tbl>
    <w:p>
      <w:pPr>
        <w:spacing w:before="280" w:after="120"/>
        <w:keepNext/>
      </w:pPr>
      <w:r>
        <w:rPr>
          <w:b/>
          <w:color w:val="15171C"/>
          <w:sz w:val="27"/>
          <w:szCs w:val="27"/>
        </w:rPr>
        <w:t xml:space="preserve">4.2   Step Details</w:t>
      </w:r>
    </w:p>
    <w:p>
      <w:pPr>
        <w:spacing w:before="240" w:after="80"/>
        <w:keepNext/>
      </w:pPr>
      <w:r>
        <w:rPr>
          <w:b/>
          <w:color w:val="15171C"/>
          <w:sz w:val="23"/>
          <w:szCs w:val="23"/>
        </w:rPr>
        <w:t xml:space="preserve">Step 1 — Intent Extraction</w:t>
      </w:r>
      <w:r>
        <w:rPr>
          <w:rFonts w:ascii="Consolas" w:hAnsi="Consolas" w:cs="Consolas"/>
          <w:color w:val="6A6F78"/>
          <w:sz w:val="18"/>
          <w:szCs w:val="18"/>
        </w:rPr>
        <w:t xml:space="preserve">   core/intent_extractor.py</w:t>
      </w:r>
    </w:p>
    <w:p>
      <w:pPr>
        <w:spacing w:after="140" w:line="276" w:lineRule="auto"/>
      </w:pPr>
      <w:r>
        <w:rPr>
          <w:color w:val="33373E"/>
          <w:sz w:val="22"/>
          <w:szCs w:val="22"/>
        </w:rPr>
        <w:t xml:space="preserve">Parses the natural-language question to detect KPI identity, named entities, and aggregation modifiers using in-memory term dictionaries loaded from Neo4j at startup.</w:t>
      </w:r>
    </w:p>
    <w:p>
      <w:pPr>
        <w:numPr>
          <w:ilvl w:val="0"/>
          <w:numId w:val="1"/>
        </w:numPr>
        <w:spacing w:after="60" w:line="264" w:lineRule="auto"/>
      </w:pPr>
      <w:r>
        <w:rPr>
          <w:b/>
          <w:color w:val="15171C"/>
          <w:sz w:val="22"/>
          <w:szCs w:val="22"/>
        </w:rPr>
        <w:t xml:space="preserve">Station codes: </w:t>
      </w:r>
      <w:r>
        <w:rPr>
          <w:color w:val="33373E"/>
          <w:sz w:val="22"/>
          <w:szCs w:val="22"/>
        </w:rPr>
        <w:t xml:space="preserve">exact 3–4 character matching.</w:t>
      </w:r>
    </w:p>
    <w:p>
      <w:pPr>
        <w:numPr>
          <w:ilvl w:val="0"/>
          <w:numId w:val="1"/>
        </w:numPr>
        <w:spacing w:after="60" w:line="264" w:lineRule="auto"/>
      </w:pPr>
      <w:r>
        <w:rPr>
          <w:b/>
          <w:color w:val="15171C"/>
          <w:sz w:val="22"/>
          <w:szCs w:val="22"/>
        </w:rPr>
        <w:t xml:space="preserve">KPI synonyms: </w:t>
      </w:r>
      <w:r>
        <w:rPr>
          <w:color w:val="33373E"/>
          <w:sz w:val="22"/>
          <w:szCs w:val="22"/>
        </w:rPr>
        <w:t xml:space="preserve">fuzzy matching via rapidfuzz (partial_ratio scorer).</w:t>
      </w:r>
    </w:p>
    <w:p>
      <w:pPr>
        <w:numPr>
          <w:ilvl w:val="0"/>
          <w:numId w:val="1"/>
        </w:numPr>
        <w:spacing w:after="60" w:line="264" w:lineRule="auto"/>
      </w:pPr>
      <w:r>
        <w:rPr>
          <w:b/>
          <w:color w:val="15171C"/>
          <w:sz w:val="22"/>
          <w:szCs w:val="22"/>
        </w:rPr>
        <w:t xml:space="preserve">Other entities: </w:t>
      </w:r>
      <w:r>
        <w:rPr>
          <w:color w:val="33373E"/>
          <w:sz w:val="22"/>
          <w:szCs w:val="22"/>
        </w:rPr>
        <w:t xml:space="preserve">exact-first with fuzzy fallback.</w:t>
      </w:r>
    </w:p>
    <w:p>
      <w:pPr>
        <w:numPr>
          <w:ilvl w:val="0"/>
          <w:numId w:val="1"/>
        </w:numPr>
        <w:spacing w:after="60" w:line="264" w:lineRule="auto"/>
      </w:pPr>
      <w:r>
        <w:rPr>
          <w:b/>
          <w:color w:val="15171C"/>
          <w:sz w:val="22"/>
          <w:szCs w:val="22"/>
        </w:rPr>
        <w:t xml:space="preserve">If no KPI matches: </w:t>
      </w:r>
      <w:r>
        <w:rPr>
          <w:color w:val="33373E"/>
          <w:sz w:val="22"/>
          <w:szCs w:val="22"/>
        </w:rPr>
        <w:t xml:space="preserve">pipeline halts and returns a list of available KPIs.</w:t>
      </w:r>
    </w:p>
    <w:p>
      <w:pPr>
        <w:spacing w:before="240" w:after="80"/>
        <w:keepNext/>
      </w:pPr>
      <w:r>
        <w:rPr>
          <w:b/>
          <w:color w:val="15171C"/>
          <w:sz w:val="23"/>
          <w:szCs w:val="23"/>
        </w:rPr>
        <w:t xml:space="preserve">Step 2 — KPI Recipe Lookup</w:t>
      </w:r>
      <w:r>
        <w:rPr>
          <w:rFonts w:ascii="Consolas" w:hAnsi="Consolas" w:cs="Consolas"/>
          <w:color w:val="6A6F78"/>
          <w:sz w:val="18"/>
          <w:szCs w:val="18"/>
        </w:rPr>
        <w:t xml:space="preserve">   core/ontology_lookup.py</w:t>
      </w:r>
    </w:p>
    <w:p>
      <w:pPr>
        <w:spacing w:after="140" w:line="276" w:lineRule="auto"/>
      </w:pPr>
      <w:r>
        <w:rPr>
          <w:color w:val="33373E"/>
          <w:sz w:val="22"/>
          <w:szCs w:val="22"/>
        </w:rPr>
        <w:t xml:space="preserve">Queries Neo4j using the detected </w:t>
      </w:r>
      <w:r>
        <w:rPr>
          <w:rFonts w:ascii="Consolas" w:hAnsi="Consolas" w:cs="Consolas"/>
          <w:color w:val="B4231A"/>
          <w:sz w:val="19"/>
          <w:szCs w:val="19"/>
        </w:rPr>
        <w:t xml:space="preserve">kpi_id</w:t>
      </w:r>
      <w:r>
        <w:rPr>
          <w:color w:val="33373E"/>
          <w:sz w:val="22"/>
          <w:szCs w:val="22"/>
        </w:rPr>
        <w:t xml:space="preserve">. Retrieves the full recipe: formula, required views, ordered computation steps, and filter definitions via a Cypher </w:t>
      </w:r>
      <w:r>
        <w:rPr>
          <w:rFonts w:ascii="Consolas" w:hAnsi="Consolas" w:cs="Consolas"/>
          <w:color w:val="B4231A"/>
          <w:sz w:val="19"/>
          <w:szCs w:val="19"/>
        </w:rPr>
        <w:t xml:space="preserve">MATCH</w:t>
      </w:r>
      <w:r>
        <w:rPr>
          <w:color w:val="33373E"/>
          <w:sz w:val="22"/>
          <w:szCs w:val="22"/>
        </w:rPr>
        <w:t xml:space="preserve"> traversal.</w:t>
      </w:r>
    </w:p>
    <w:p>
      <w:pPr>
        <w:spacing w:before="240" w:after="80"/>
        <w:keepNext/>
      </w:pPr>
      <w:r>
        <w:rPr>
          <w:b/>
          <w:color w:val="15171C"/>
          <w:sz w:val="23"/>
          <w:szCs w:val="23"/>
        </w:rPr>
        <w:t xml:space="preserve">Step 3 — Context Building</w:t>
      </w:r>
      <w:r>
        <w:rPr>
          <w:rFonts w:ascii="Consolas" w:hAnsi="Consolas" w:cs="Consolas"/>
          <w:color w:val="6A6F78"/>
          <w:sz w:val="18"/>
          <w:szCs w:val="18"/>
        </w:rPr>
        <w:t xml:space="preserve">   core/context_builder.py</w:t>
      </w:r>
    </w:p>
    <w:p>
      <w:pPr>
        <w:spacing w:after="140" w:line="276" w:lineRule="auto"/>
      </w:pPr>
      <w:r>
        <w:rPr>
          <w:color w:val="33373E"/>
          <w:sz w:val="22"/>
          <w:szCs w:val="22"/>
        </w:rPr>
        <w:t xml:space="preserve">Merges the extraction result and KPI recipe into a </w:t>
      </w:r>
      <w:r>
        <w:rPr>
          <w:rFonts w:ascii="Consolas" w:hAnsi="Consolas" w:cs="Consolas"/>
          <w:color w:val="B4231A"/>
          <w:sz w:val="19"/>
          <w:szCs w:val="19"/>
        </w:rPr>
        <w:t xml:space="preserve">StructuredContext</w:t>
      </w:r>
      <w:r>
        <w:rPr>
          <w:color w:val="33373E"/>
          <w:sz w:val="22"/>
          <w:szCs w:val="22"/>
        </w:rPr>
        <w:t xml:space="preserve">. Key operations:</w:t>
      </w:r>
    </w:p>
    <w:p>
      <w:pPr>
        <w:numPr>
          <w:ilvl w:val="0"/>
          <w:numId w:val="1"/>
        </w:numPr>
        <w:spacing w:after="60" w:line="264" w:lineRule="auto"/>
      </w:pPr>
      <w:r>
        <w:rPr>
          <w:color w:val="33373E"/>
          <w:sz w:val="22"/>
          <w:szCs w:val="22"/>
        </w:rPr>
        <w:t xml:space="preserve">Resolves view names against views.yaml (guards against stale Neo4j data).</w:t>
      </w:r>
    </w:p>
    <w:p>
      <w:pPr>
        <w:numPr>
          <w:ilvl w:val="0"/>
          <w:numId w:val="1"/>
        </w:numPr>
        <w:spacing w:after="60" w:line="264" w:lineRule="auto"/>
      </w:pPr>
      <w:r>
        <w:rPr>
          <w:color w:val="33373E"/>
          <w:sz w:val="22"/>
          <w:szCs w:val="22"/>
        </w:rPr>
        <w:t xml:space="preserve">Attaches column names, types, and descriptions for each view.</w:t>
      </w:r>
    </w:p>
    <w:p>
      <w:pPr>
        <w:numPr>
          <w:ilvl w:val="0"/>
          <w:numId w:val="1"/>
        </w:numPr>
        <w:spacing w:after="60" w:line="264" w:lineRule="auto"/>
      </w:pPr>
      <w:r>
        <w:rPr>
          <w:color w:val="33373E"/>
          <w:sz w:val="22"/>
          <w:szCs w:val="22"/>
        </w:rPr>
        <w:t xml:space="preserve">Translates detected terms into ready-to-use SQL WHERE clause fragments.</w:t>
      </w:r>
    </w:p>
    <w:p>
      <w:pPr>
        <w:numPr>
          <w:ilvl w:val="0"/>
          <w:numId w:val="1"/>
        </w:numPr>
        <w:spacing w:after="60" w:line="264" w:lineRule="auto"/>
      </w:pPr>
      <w:r>
        <w:rPr>
          <w:color w:val="33373E"/>
          <w:sz w:val="22"/>
          <w:szCs w:val="22"/>
        </w:rPr>
        <w:t xml:space="preserve">Raises an error before reaching the LLM if an unsupported filter is requested.</w:t>
      </w:r>
    </w:p>
    <w:p>
      <w:pPr>
        <w:spacing w:before="240" w:after="80"/>
        <w:keepNext/>
      </w:pPr>
      <w:r>
        <w:rPr>
          <w:b/>
          <w:color w:val="15171C"/>
          <w:sz w:val="23"/>
          <w:szCs w:val="23"/>
        </w:rPr>
        <w:t xml:space="preserve">Step 4 — LLM SQL Generation</w:t>
      </w:r>
      <w:r>
        <w:rPr>
          <w:rFonts w:ascii="Consolas" w:hAnsi="Consolas" w:cs="Consolas"/>
          <w:color w:val="6A6F78"/>
          <w:sz w:val="18"/>
          <w:szCs w:val="18"/>
        </w:rPr>
        <w:t xml:space="preserve">   core/sql_generator.py</w:t>
      </w:r>
    </w:p>
    <w:p>
      <w:pPr>
        <w:spacing w:after="140" w:line="276" w:lineRule="auto"/>
      </w:pPr>
      <w:r>
        <w:rPr>
          <w:color w:val="33373E"/>
          <w:sz w:val="22"/>
          <w:szCs w:val="22"/>
        </w:rPr>
        <w:t xml:space="preserve">Sends the </w:t>
      </w:r>
      <w:r>
        <w:rPr>
          <w:rFonts w:ascii="Consolas" w:hAnsi="Consolas" w:cs="Consolas"/>
          <w:color w:val="B4231A"/>
          <w:sz w:val="19"/>
          <w:szCs w:val="19"/>
        </w:rPr>
        <w:t xml:space="preserve">StructuredContext</w:t>
      </w:r>
      <w:r>
        <w:rPr>
          <w:color w:val="33373E"/>
          <w:sz w:val="22"/>
          <w:szCs w:val="22"/>
        </w:rPr>
        <w:t xml:space="preserve"> to Azure OpenAI. The LLM operates at </w:t>
      </w:r>
      <w:r>
        <w:rPr>
          <w:rFonts w:ascii="Consolas" w:hAnsi="Consolas" w:cs="Consolas"/>
          <w:color w:val="B4231A"/>
          <w:sz w:val="19"/>
          <w:szCs w:val="19"/>
        </w:rPr>
        <w:t xml:space="preserve">temperature=0.0</w:t>
      </w:r>
      <w:r>
        <w:rPr>
          <w:color w:val="33373E"/>
          <w:sz w:val="22"/>
          <w:szCs w:val="22"/>
        </w:rPr>
        <w:t xml:space="preserve"> and is constrained by a strict system prompt: use only provided views and columns, fully qualify all names, no </w:t>
      </w:r>
      <w:r>
        <w:rPr>
          <w:rFonts w:ascii="Consolas" w:hAnsi="Consolas" w:cs="Consolas"/>
          <w:color w:val="B4231A"/>
          <w:sz w:val="19"/>
          <w:szCs w:val="19"/>
        </w:rPr>
        <w:t xml:space="preserve">SELECT *</w:t>
      </w:r>
      <w:r>
        <w:rPr>
          <w:color w:val="33373E"/>
          <w:sz w:val="22"/>
          <w:szCs w:val="22"/>
        </w:rPr>
        <w:t xml:space="preserve">.</w:t>
      </w:r>
    </w:p>
    <w:p>
      <w:pPr>
        <w:numPr>
          <w:ilvl w:val="0"/>
          <w:numId w:val="1"/>
        </w:numPr>
        <w:spacing w:after="60" w:line="264" w:lineRule="auto"/>
      </w:pPr>
      <w:r>
        <w:rPr>
          <w:color w:val="33373E"/>
          <w:sz w:val="22"/>
          <w:szCs w:val="22"/>
        </w:rPr>
        <w:t xml:space="preserve">Post-processing strips markdown code fences from the response.</w:t>
      </w:r>
    </w:p>
    <w:p>
      <w:pPr>
        <w:numPr>
          <w:ilvl w:val="0"/>
          <w:numId w:val="1"/>
        </w:numPr>
        <w:spacing w:after="60" w:line="264" w:lineRule="auto"/>
      </w:pPr>
      <w:r>
        <w:rPr>
          <w:rFonts w:ascii="Consolas" w:hAnsi="Consolas" w:cs="Consolas"/>
          <w:color w:val="B4231A"/>
          <w:sz w:val="19"/>
          <w:szCs w:val="19"/>
        </w:rPr>
        <w:t xml:space="preserve">_enforce_view_names()</w:t>
      </w:r>
      <w:r>
        <w:rPr>
          <w:color w:val="33373E"/>
          <w:sz w:val="22"/>
          <w:szCs w:val="22"/>
        </w:rPr>
        <w:t xml:space="preserve"> corrects any truncated or incorrect view names.</w:t>
      </w:r>
    </w:p>
    <w:p>
      <w:pPr>
        <w:spacing w:before="240" w:after="80"/>
        <w:keepNext/>
      </w:pPr>
      <w:r>
        <w:rPr>
          <w:b/>
          <w:color w:val="15171C"/>
          <w:sz w:val="23"/>
          <w:szCs w:val="23"/>
        </w:rPr>
        <w:t xml:space="preserve">Step 5 — SQL Validation</w:t>
      </w:r>
      <w:r>
        <w:rPr>
          <w:rFonts w:ascii="Consolas" w:hAnsi="Consolas" w:cs="Consolas"/>
          <w:color w:val="6A6F78"/>
          <w:sz w:val="18"/>
          <w:szCs w:val="18"/>
        </w:rPr>
        <w:t xml:space="preserve">   core/sql_validator.py</w:t>
      </w:r>
    </w:p>
    <w:p>
      <w:pPr>
        <w:spacing w:after="140" w:line="276" w:lineRule="auto"/>
      </w:pPr>
      <w:r>
        <w:rPr>
          <w:color w:val="33373E"/>
          <w:sz w:val="22"/>
          <w:szCs w:val="22"/>
        </w:rPr>
        <w:t xml:space="preserve">Validates the generated SQL before any Snowflake connection is made:</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2700"/>
        <w:gridCol w:w="6660"/>
      </w:tblGrid>
      <w:tr>
        <w:trPr>
          <w:tblHeader/>
        </w:trPr>
        <w:tc>
          <w:tcPr>
            <w:tcW w:w="27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Check</w:t>
            </w:r>
          </w:p>
        </w:tc>
        <w:tc>
          <w:tcPr>
            <w:tcW w:w="66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What It Catches</w:t>
            </w:r>
          </w:p>
        </w:tc>
      </w:tr>
      <w:tr>
        <w:tc>
          <w:tcPr>
            <w:tcW w:w="2700" w:type="dxa"/>
            <w:tcMar>
              <w:top w:w="80" w:type="dxa"/>
              <w:left w:w="130" w:type="dxa"/>
              <w:bottom w:w="80" w:type="dxa"/>
              <w:right w:w="130" w:type="dxa"/>
            </w:tcMar>
            <w:vAlign w:val="center"/>
          </w:tcPr>
          <w:p>
            <w:pPr>
              <w:spacing w:after="0" w:line="252" w:lineRule="auto"/>
            </w:pPr>
            <w:r>
              <w:rPr>
                <w:b/>
                <w:color w:val="15171C"/>
                <w:sz w:val="20"/>
                <w:szCs w:val="20"/>
              </w:rPr>
              <w:t xml:space="preserve">Safety</w:t>
            </w:r>
          </w:p>
        </w:tc>
        <w:tc>
          <w:tcPr>
            <w:tcW w:w="6660" w:type="dxa"/>
            <w:tcMar>
              <w:top w:w="80" w:type="dxa"/>
              <w:left w:w="130" w:type="dxa"/>
              <w:bottom w:w="80" w:type="dxa"/>
              <w:right w:w="130" w:type="dxa"/>
            </w:tcMar>
            <w:vAlign w:val="center"/>
          </w:tcPr>
          <w:p>
            <w:pPr>
              <w:spacing w:after="0" w:line="252" w:lineRule="auto"/>
            </w:pPr>
            <w:r>
              <w:rPr>
                <w:color w:val="33373E"/>
                <w:sz w:val="20"/>
                <w:szCs w:val="20"/>
              </w:rPr>
              <w:t xml:space="preserve">Blocks </w:t>
            </w:r>
            <w:r>
              <w:rPr>
                <w:rFonts w:ascii="Consolas" w:hAnsi="Consolas" w:cs="Consolas"/>
                <w:color w:val="B4231A"/>
                <w:sz w:val="19"/>
                <w:szCs w:val="19"/>
              </w:rPr>
              <w:t xml:space="preserve">DROP, DELETE, INSERT, UPDATE, GRANT, ALTER, TRUNCATE</w:t>
            </w:r>
            <w:r>
              <w:rPr>
                <w:color w:val="33373E"/>
                <w:sz w:val="20"/>
                <w:szCs w:val="20"/>
              </w:rPr>
              <w:t xml:space="preserve">.</w:t>
            </w:r>
          </w:p>
        </w:tc>
      </w:tr>
      <w:tr>
        <w:tc>
          <w:tcPr>
            <w:tcW w:w="2700" w:type="dxa"/>
            <w:tcMar>
              <w:top w:w="80" w:type="dxa"/>
              <w:left w:w="130" w:type="dxa"/>
              <w:bottom w:w="80" w:type="dxa"/>
              <w:right w:w="130" w:type="dxa"/>
            </w:tcMar>
            <w:vAlign w:val="center"/>
          </w:tcPr>
          <w:p>
            <w:pPr>
              <w:spacing w:after="0" w:line="252" w:lineRule="auto"/>
            </w:pPr>
            <w:r>
              <w:rPr>
                <w:b/>
                <w:color w:val="15171C"/>
                <w:sz w:val="20"/>
                <w:szCs w:val="20"/>
              </w:rPr>
              <w:t xml:space="preserve">Schema Compliance</w:t>
            </w:r>
          </w:p>
        </w:tc>
        <w:tc>
          <w:tcPr>
            <w:tcW w:w="6660" w:type="dxa"/>
            <w:tcMar>
              <w:top w:w="80" w:type="dxa"/>
              <w:left w:w="130" w:type="dxa"/>
              <w:bottom w:w="80" w:type="dxa"/>
              <w:right w:w="130" w:type="dxa"/>
            </w:tcMar>
            <w:vAlign w:val="center"/>
          </w:tcPr>
          <w:p>
            <w:pPr>
              <w:spacing w:after="0" w:line="252" w:lineRule="auto"/>
            </w:pPr>
            <w:r>
              <w:rPr>
                <w:color w:val="33373E"/>
                <w:sz w:val="20"/>
                <w:szCs w:val="20"/>
              </w:rPr>
              <w:t xml:space="preserve">Every table referenced must exist in the allowed-views list.</w:t>
            </w:r>
          </w:p>
        </w:tc>
      </w:tr>
      <w:tr>
        <w:tc>
          <w:tcPr>
            <w:tcW w:w="2700" w:type="dxa"/>
            <w:tcMar>
              <w:top w:w="80" w:type="dxa"/>
              <w:left w:w="130" w:type="dxa"/>
              <w:bottom w:w="80" w:type="dxa"/>
              <w:right w:w="130" w:type="dxa"/>
            </w:tcMar>
            <w:vAlign w:val="center"/>
          </w:tcPr>
          <w:p>
            <w:pPr>
              <w:spacing w:after="0" w:line="252" w:lineRule="auto"/>
            </w:pPr>
            <w:r>
              <w:rPr>
                <w:b/>
                <w:color w:val="15171C"/>
                <w:sz w:val="20"/>
                <w:szCs w:val="20"/>
              </w:rPr>
              <w:t xml:space="preserve">Row-Level Security</w:t>
            </w:r>
          </w:p>
        </w:tc>
        <w:tc>
          <w:tcPr>
            <w:tcW w:w="6660" w:type="dxa"/>
            <w:tcMar>
              <w:top w:w="80" w:type="dxa"/>
              <w:left w:w="130" w:type="dxa"/>
              <w:bottom w:w="80" w:type="dxa"/>
              <w:right w:w="130" w:type="dxa"/>
            </w:tcMar>
            <w:vAlign w:val="center"/>
          </w:tcPr>
          <w:p>
            <w:pPr>
              <w:spacing w:after="0" w:line="252" w:lineRule="auto"/>
            </w:pPr>
            <w:r>
              <w:rPr>
                <w:color w:val="33373E"/>
                <w:sz w:val="20"/>
                <w:szCs w:val="20"/>
              </w:rPr>
              <w:t xml:space="preserve">If user has a role, SQL must include </w:t>
            </w:r>
            <w:r>
              <w:rPr>
                <w:rFonts w:ascii="Consolas" w:hAnsi="Consolas" w:cs="Consolas"/>
                <w:color w:val="B4231A"/>
                <w:sz w:val="19"/>
                <w:szCs w:val="19"/>
              </w:rPr>
              <w:t xml:space="preserve">STATIONCODE IN (...)</w:t>
            </w:r>
            <w:r>
              <w:rPr>
                <w:color w:val="33373E"/>
                <w:sz w:val="20"/>
                <w:szCs w:val="20"/>
              </w:rPr>
              <w:t xml:space="preserve"> for authorized stations.</w:t>
            </w:r>
          </w:p>
        </w:tc>
      </w:tr>
    </w:tbl>
    <w:p>
      <w:pPr>
        <w:spacing w:before="240" w:after="80"/>
        <w:keepNext/>
      </w:pPr>
      <w:r>
        <w:rPr>
          <w:b/>
          <w:color w:val="15171C"/>
          <w:sz w:val="23"/>
          <w:szCs w:val="23"/>
        </w:rPr>
        <w:t xml:space="preserve">Step 6 — Snowflake Execution</w:t>
      </w:r>
      <w:r>
        <w:rPr>
          <w:rFonts w:ascii="Consolas" w:hAnsi="Consolas" w:cs="Consolas"/>
          <w:color w:val="6A6F78"/>
          <w:sz w:val="18"/>
          <w:szCs w:val="18"/>
        </w:rPr>
        <w:t xml:space="preserve">   core/snowflake_executor.py</w:t>
      </w:r>
    </w:p>
    <w:p>
      <w:pPr>
        <w:spacing w:after="140" w:line="276" w:lineRule="auto"/>
      </w:pPr>
      <w:r>
        <w:rPr>
          <w:color w:val="33373E"/>
          <w:sz w:val="22"/>
          <w:szCs w:val="22"/>
        </w:rPr>
        <w:t xml:space="preserve">Executes the validated SQL against Snowflake using connection pooling. Configuration:</w:t>
      </w:r>
    </w:p>
    <w:p>
      <w:pPr>
        <w:numPr>
          <w:ilvl w:val="0"/>
          <w:numId w:val="1"/>
        </w:numPr>
        <w:spacing w:after="60" w:line="264" w:lineRule="auto"/>
      </w:pPr>
      <w:r>
        <w:rPr>
          <w:b/>
          <w:color w:val="15171C"/>
          <w:sz w:val="22"/>
          <w:szCs w:val="22"/>
        </w:rPr>
        <w:t xml:space="preserve">Query timeout: </w:t>
      </w:r>
      <w:r>
        <w:rPr>
          <w:color w:val="33373E"/>
          <w:sz w:val="22"/>
          <w:szCs w:val="22"/>
        </w:rPr>
        <w:t xml:space="preserve">10 seconds.</w:t>
      </w:r>
    </w:p>
    <w:p>
      <w:pPr>
        <w:numPr>
          <w:ilvl w:val="0"/>
          <w:numId w:val="1"/>
        </w:numPr>
        <w:spacing w:after="60" w:line="264" w:lineRule="auto"/>
      </w:pPr>
      <w:r>
        <w:rPr>
          <w:b/>
          <w:color w:val="15171C"/>
          <w:sz w:val="22"/>
          <w:szCs w:val="22"/>
        </w:rPr>
        <w:t xml:space="preserve">Preview limit: </w:t>
      </w:r>
      <w:r>
        <w:rPr>
          <w:color w:val="33373E"/>
          <w:sz w:val="22"/>
          <w:szCs w:val="22"/>
        </w:rPr>
        <w:t xml:space="preserve">50 rows (API response payload).</w:t>
      </w:r>
    </w:p>
    <w:p>
      <w:pPr>
        <w:numPr>
          <w:ilvl w:val="0"/>
          <w:numId w:val="1"/>
        </w:numPr>
        <w:spacing w:after="60" w:line="264" w:lineRule="auto"/>
      </w:pPr>
      <w:r>
        <w:rPr>
          <w:b/>
          <w:color w:val="15171C"/>
          <w:sz w:val="22"/>
          <w:szCs w:val="22"/>
        </w:rPr>
        <w:t xml:space="preserve">Maximum rows: </w:t>
      </w:r>
      <w:r>
        <w:rPr>
          <w:color w:val="33373E"/>
          <w:sz w:val="22"/>
          <w:szCs w:val="22"/>
        </w:rPr>
        <w:t xml:space="preserve">50,000 (CSV export).</w:t>
      </w:r>
    </w:p>
    <w:p>
      <w:pPr>
        <w:spacing w:before="240" w:after="80"/>
        <w:keepNext/>
      </w:pPr>
      <w:r>
        <w:rPr>
          <w:b/>
          <w:color w:val="15171C"/>
          <w:sz w:val="23"/>
          <w:szCs w:val="23"/>
        </w:rPr>
        <w:t xml:space="preserve">Step 7 — Response Assembly</w:t>
      </w:r>
      <w:r>
        <w:rPr>
          <w:rFonts w:ascii="Consolas" w:hAnsi="Consolas" w:cs="Consolas"/>
          <w:color w:val="6A6F78"/>
          <w:sz w:val="18"/>
          <w:szCs w:val="18"/>
        </w:rPr>
        <w:t xml:space="preserve">   core/pipeline.py</w:t>
      </w:r>
    </w:p>
    <w:p>
      <w:pPr>
        <w:spacing w:after="140" w:line="276" w:lineRule="auto"/>
      </w:pPr>
      <w:r>
        <w:rPr>
          <w:color w:val="33373E"/>
          <w:sz w:val="22"/>
          <w:szCs w:val="22"/>
        </w:rPr>
        <w:t xml:space="preserve">Wraps all outputs into a </w:t>
      </w:r>
      <w:r>
        <w:rPr>
          <w:rFonts w:ascii="Consolas" w:hAnsi="Consolas" w:cs="Consolas"/>
          <w:color w:val="B4231A"/>
          <w:sz w:val="19"/>
          <w:szCs w:val="19"/>
        </w:rPr>
        <w:t xml:space="preserve">PipelineResponse</w:t>
      </w:r>
      <w:r>
        <w:rPr>
          <w:color w:val="33373E"/>
          <w:sz w:val="22"/>
          <w:szCs w:val="22"/>
        </w:rPr>
        <w:t xml:space="preserve"> containing: question, answer summary, generated SQL, result data, row count, full extraction result, and per-step latency breakdown in milliseconds.</w:t>
      </w:r>
    </w:p>
    <w:p>
      <w:pPr>
        <w:pStyle w:val="Heading1"/>
        <w:spacing w:before="420" w:after="40"/>
        <w:pBdr>
          <w:bottom w:val="single" w:sz="6" w:space="6" w:color="E2E5EA"/>
        </w:pBdr>
        <w:keepNext/>
      </w:pPr>
      <w:r>
        <w:rPr>
          <w:b/>
          <w:caps/>
          <w:color w:val="D5271A"/>
          <w:sz w:val="17"/>
          <w:szCs w:val="17"/>
          <w:spacing w:val="24"/>
        </w:rPr>
        <w:t xml:space="preserve">SECTION 05</w:t>
      </w:r>
    </w:p>
    <w:p>
      <w:pPr>
        <w:spacing w:before="60" w:after="160"/>
        <w:keepNext/>
      </w:pPr>
      <w:r>
        <w:rPr>
          <w:b/>
          <w:color w:val="9BA0A9"/>
          <w:sz w:val="30"/>
          <w:szCs w:val="30"/>
        </w:rPr>
        <w:t xml:space="preserve">05   </w:t>
      </w:r>
      <w:r>
        <w:rPr>
          <w:b/>
          <w:color w:val="15171C"/>
          <w:sz w:val="38"/>
          <w:szCs w:val="38"/>
        </w:rPr>
        <w:t xml:space="preserve">Snowflake Views · Phase 1</w:t>
      </w:r>
    </w:p>
    <w:p>
      <w:pPr>
        <w:spacing w:after="140" w:line="276" w:lineRule="auto"/>
      </w:pPr>
      <w:r>
        <w:rPr>
          <w:color w:val="33373E"/>
          <w:sz w:val="22"/>
          <w:szCs w:val="22"/>
        </w:rPr>
        <w:t xml:space="preserve">The system references four pre-defined Snowflake views. All queries are scoped to these views; no ad-hoc table access is permitted.</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3500"/>
        <w:gridCol w:w="900"/>
        <w:gridCol w:w="1060"/>
        <w:gridCol w:w="3900"/>
      </w:tblGrid>
      <w:tr>
        <w:trPr>
          <w:tblHeader/>
        </w:trPr>
        <w:tc>
          <w:tcPr>
            <w:tcW w:w="35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View Name</w:t>
            </w:r>
          </w:p>
        </w:tc>
        <w:tc>
          <w:tcPr>
            <w:tcW w:w="9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Alias</w:t>
            </w:r>
          </w:p>
        </w:tc>
        <w:tc>
          <w:tcPr>
            <w:tcW w:w="10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Columns</w:t>
            </w:r>
          </w:p>
        </w:tc>
        <w:tc>
          <w:tcPr>
            <w:tcW w:w="39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Purpose</w:t>
            </w:r>
          </w:p>
        </w:tc>
      </w:tr>
      <w:tr>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DIMFINANCEBUSINESSSTRUCTURE_V</w:t>
            </w:r>
          </w:p>
        </w:tc>
        <w:tc>
          <w:tcPr>
            <w:tcW w:w="9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b</w:t>
            </w:r>
          </w:p>
        </w:tc>
        <w:tc>
          <w:tcPr>
            <w:tcW w:w="1060" w:type="dxa"/>
            <w:tcMar>
              <w:top w:w="80" w:type="dxa"/>
              <w:left w:w="130" w:type="dxa"/>
              <w:bottom w:w="80" w:type="dxa"/>
              <w:right w:w="130" w:type="dxa"/>
            </w:tcMar>
            <w:vAlign w:val="center"/>
          </w:tcPr>
          <w:p>
            <w:pPr>
              <w:spacing w:after="0" w:line="252" w:lineRule="auto"/>
            </w:pPr>
            <w:r>
              <w:rPr>
                <w:color w:val="15171C"/>
                <w:sz w:val="20"/>
                <w:szCs w:val="20"/>
              </w:rPr>
              <w:t xml:space="preserve">25</w:t>
            </w:r>
          </w:p>
        </w:tc>
        <w:tc>
          <w:tcPr>
            <w:tcW w:w="3900" w:type="dxa"/>
            <w:tcMar>
              <w:top w:w="80" w:type="dxa"/>
              <w:left w:w="130" w:type="dxa"/>
              <w:bottom w:w="80" w:type="dxa"/>
              <w:right w:w="130" w:type="dxa"/>
            </w:tcMar>
            <w:vAlign w:val="center"/>
          </w:tcPr>
          <w:p>
            <w:pPr>
              <w:spacing w:after="0" w:line="252" w:lineRule="auto"/>
            </w:pPr>
            <w:r>
              <w:rPr>
                <w:color w:val="33373E"/>
                <w:sz w:val="20"/>
                <w:szCs w:val="20"/>
              </w:rPr>
              <w:t xml:space="preserve">Org hierarchy: Region → Station → Customer → Contract.</w:t>
            </w:r>
          </w:p>
        </w:tc>
      </w:tr>
      <w:tr>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AGGEMPCOUNT_ATTRITION_DATA_V</w:t>
            </w:r>
          </w:p>
        </w:tc>
        <w:tc>
          <w:tcPr>
            <w:tcW w:w="9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a</w:t>
            </w:r>
          </w:p>
        </w:tc>
        <w:tc>
          <w:tcPr>
            <w:tcW w:w="1060" w:type="dxa"/>
            <w:tcMar>
              <w:top w:w="80" w:type="dxa"/>
              <w:left w:w="130" w:type="dxa"/>
              <w:bottom w:w="80" w:type="dxa"/>
              <w:right w:w="130" w:type="dxa"/>
            </w:tcMar>
            <w:vAlign w:val="center"/>
          </w:tcPr>
          <w:p>
            <w:pPr>
              <w:spacing w:after="0" w:line="252" w:lineRule="auto"/>
            </w:pPr>
            <w:r>
              <w:rPr>
                <w:color w:val="15171C"/>
                <w:sz w:val="20"/>
                <w:szCs w:val="20"/>
              </w:rPr>
              <w:t xml:space="preserve">5</w:t>
            </w:r>
          </w:p>
        </w:tc>
        <w:tc>
          <w:tcPr>
            <w:tcW w:w="3900" w:type="dxa"/>
            <w:tcMar>
              <w:top w:w="80" w:type="dxa"/>
              <w:left w:w="130" w:type="dxa"/>
              <w:bottom w:w="80" w:type="dxa"/>
              <w:right w:w="130" w:type="dxa"/>
            </w:tcMar>
            <w:vAlign w:val="center"/>
          </w:tcPr>
          <w:p>
            <w:pPr>
              <w:spacing w:after="0" w:line="252" w:lineRule="auto"/>
            </w:pPr>
            <w:r>
              <w:rPr>
                <w:color w:val="33373E"/>
                <w:sz w:val="20"/>
                <w:szCs w:val="20"/>
              </w:rPr>
              <w:t xml:space="preserve">Pre-aggregated attrition / turnover metrics.</w:t>
            </w:r>
          </w:p>
        </w:tc>
      </w:tr>
      <w:tr>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DIMHISTORYEMPLOYEE_V</w:t>
            </w:r>
          </w:p>
        </w:tc>
        <w:tc>
          <w:tcPr>
            <w:tcW w:w="9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e</w:t>
            </w:r>
          </w:p>
        </w:tc>
        <w:tc>
          <w:tcPr>
            <w:tcW w:w="1060" w:type="dxa"/>
            <w:tcMar>
              <w:top w:w="80" w:type="dxa"/>
              <w:left w:w="130" w:type="dxa"/>
              <w:bottom w:w="80" w:type="dxa"/>
              <w:right w:w="130" w:type="dxa"/>
            </w:tcMar>
            <w:vAlign w:val="center"/>
          </w:tcPr>
          <w:p>
            <w:pPr>
              <w:spacing w:after="0" w:line="252" w:lineRule="auto"/>
            </w:pPr>
            <w:r>
              <w:rPr>
                <w:color w:val="15171C"/>
                <w:sz w:val="20"/>
                <w:szCs w:val="20"/>
              </w:rPr>
              <w:t xml:space="preserve">34</w:t>
            </w:r>
          </w:p>
        </w:tc>
        <w:tc>
          <w:tcPr>
            <w:tcW w:w="3900" w:type="dxa"/>
            <w:tcMar>
              <w:top w:w="80" w:type="dxa"/>
              <w:left w:w="130" w:type="dxa"/>
              <w:bottom w:w="80" w:type="dxa"/>
              <w:right w:w="130" w:type="dxa"/>
            </w:tcMar>
            <w:vAlign w:val="center"/>
          </w:tcPr>
          <w:p>
            <w:pPr>
              <w:spacing w:after="0" w:line="252" w:lineRule="auto"/>
            </w:pPr>
            <w:r>
              <w:rPr>
                <w:color w:val="33373E"/>
                <w:sz w:val="20"/>
                <w:szCs w:val="20"/>
              </w:rPr>
              <w:t xml:space="preserve">Employee dimension: headcount, hire / term dates, status.</w:t>
            </w:r>
          </w:p>
        </w:tc>
      </w:tr>
      <w:tr>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FACTDAILYWORKDETAILS_MS_V</w:t>
            </w:r>
          </w:p>
        </w:tc>
        <w:tc>
          <w:tcPr>
            <w:tcW w:w="9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w</w:t>
            </w:r>
          </w:p>
        </w:tc>
        <w:tc>
          <w:tcPr>
            <w:tcW w:w="1060" w:type="dxa"/>
            <w:tcMar>
              <w:top w:w="80" w:type="dxa"/>
              <w:left w:w="130" w:type="dxa"/>
              <w:bottom w:w="80" w:type="dxa"/>
              <w:right w:w="130" w:type="dxa"/>
            </w:tcMar>
            <w:vAlign w:val="center"/>
          </w:tcPr>
          <w:p>
            <w:pPr>
              <w:spacing w:after="0" w:line="252" w:lineRule="auto"/>
            </w:pPr>
            <w:r>
              <w:rPr>
                <w:color w:val="15171C"/>
                <w:sz w:val="20"/>
                <w:szCs w:val="20"/>
              </w:rPr>
              <w:t xml:space="preserve">11</w:t>
            </w:r>
          </w:p>
        </w:tc>
        <w:tc>
          <w:tcPr>
            <w:tcW w:w="3900" w:type="dxa"/>
            <w:tcMar>
              <w:top w:w="80" w:type="dxa"/>
              <w:left w:w="130" w:type="dxa"/>
              <w:bottom w:w="80" w:type="dxa"/>
              <w:right w:w="130" w:type="dxa"/>
            </w:tcMar>
            <w:vAlign w:val="center"/>
          </w:tcPr>
          <w:p>
            <w:pPr>
              <w:spacing w:after="0" w:line="252" w:lineRule="auto"/>
            </w:pPr>
            <w:r>
              <w:rPr>
                <w:color w:val="33373E"/>
                <w:sz w:val="20"/>
                <w:szCs w:val="20"/>
              </w:rPr>
              <w:t xml:space="preserve">Daily work hours and punch detail.</w:t>
            </w:r>
          </w:p>
        </w:tc>
      </w:tr>
    </w:tbl>
    <w:p>
      <w:pPr>
        <w:spacing w:before="280" w:after="120"/>
        <w:keepNext/>
      </w:pPr>
      <w:r>
        <w:rPr>
          <w:b/>
          <w:color w:val="15171C"/>
          <w:sz w:val="27"/>
          <w:szCs w:val="27"/>
        </w:rPr>
        <w:t xml:space="preserve">5.1   Join Paths</w:t>
      </w:r>
    </w:p>
    <w:p>
      <w:pPr>
        <w:spacing w:after="140" w:line="276" w:lineRule="auto"/>
      </w:pPr>
      <w:r>
        <w:rPr>
          <w:color w:val="33373E"/>
          <w:sz w:val="22"/>
          <w:szCs w:val="22"/>
        </w:rPr>
        <w:t xml:space="preserve">Three join paths connect the views. The fact table joins to the employee dimension, which in turn joins to the finance / org hierarchy view. The pre-aggregated attrition view is queried directly with no join.</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3700"/>
        <w:gridCol w:w="5660"/>
      </w:tblGrid>
      <w:tr>
        <w:trPr>
          <w:tblHeader/>
        </w:trPr>
        <w:tc>
          <w:tcPr>
            <w:tcW w:w="37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From View (Alias)</w:t>
            </w:r>
          </w:p>
        </w:tc>
        <w:tc>
          <w:tcPr>
            <w:tcW w:w="56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Join Condition</w:t>
            </w:r>
          </w:p>
        </w:tc>
      </w:tr>
      <w:tr>
        <w:tc>
          <w:tcPr>
            <w:tcW w:w="3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FACTDAILYWORKDETAILS_MS_V  (w)</w:t>
            </w:r>
          </w:p>
        </w:tc>
        <w:tc>
          <w:tcPr>
            <w:tcW w:w="5660" w:type="dxa"/>
            <w:tcMar>
              <w:top w:w="80" w:type="dxa"/>
              <w:left w:w="130" w:type="dxa"/>
              <w:bottom w:w="80" w:type="dxa"/>
              <w:right w:w="130" w:type="dxa"/>
            </w:tcMar>
            <w:vAlign w:val="center"/>
          </w:tcPr>
          <w:p>
            <w:pPr>
              <w:spacing w:after="0" w:line="252" w:lineRule="auto"/>
            </w:pPr>
            <w:r>
              <w:rPr>
                <w:rFonts w:ascii="Consolas" w:hAnsi="Consolas" w:cs="Consolas"/>
                <w:color w:val="B4231A"/>
                <w:sz w:val="19"/>
                <w:szCs w:val="19"/>
              </w:rPr>
              <w:t xml:space="preserve">w.EMPLOYEE_ID = e.EMPLOYEE_ID</w:t>
            </w:r>
            <w:r>
              <w:rPr>
                <w:color w:val="33373E"/>
                <w:sz w:val="20"/>
                <w:szCs w:val="20"/>
              </w:rPr>
              <w:t xml:space="preserve">  →  DIMHISTORYEMPLOYEE_V (e)</w:t>
            </w:r>
          </w:p>
        </w:tc>
      </w:tr>
      <w:tr>
        <w:tc>
          <w:tcPr>
            <w:tcW w:w="37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DIMHISTORYEMPLOYEE_V  (e)</w:t>
            </w:r>
          </w:p>
        </w:tc>
        <w:tc>
          <w:tcPr>
            <w:tcW w:w="5660" w:type="dxa"/>
            <w:tcMar>
              <w:top w:w="80" w:type="dxa"/>
              <w:left w:w="130" w:type="dxa"/>
              <w:bottom w:w="80" w:type="dxa"/>
              <w:right w:w="130" w:type="dxa"/>
            </w:tcMar>
            <w:vAlign w:val="center"/>
          </w:tcPr>
          <w:p>
            <w:pPr>
              <w:spacing w:after="0" w:line="252" w:lineRule="auto"/>
            </w:pPr>
            <w:r>
              <w:rPr>
                <w:rFonts w:ascii="Consolas" w:hAnsi="Consolas" w:cs="Consolas"/>
                <w:color w:val="B4231A"/>
                <w:sz w:val="19"/>
                <w:szCs w:val="19"/>
              </w:rPr>
              <w:t xml:space="preserve">e.COSTCENTER = b.COSTCENTER</w:t>
            </w:r>
            <w:r>
              <w:rPr>
                <w:color w:val="33373E"/>
                <w:sz w:val="20"/>
                <w:szCs w:val="20"/>
              </w:rPr>
              <w:t xml:space="preserve">  →  DIMFINANCEBUSINESSSTRUCTURE_V (b)</w:t>
            </w:r>
          </w:p>
        </w:tc>
      </w:tr>
    </w:tbl>
    <w:p>
      <w:pPr>
        <w:pStyle w:val="Heading1"/>
        <w:spacing w:before="420" w:after="40"/>
        <w:pBdr>
          <w:bottom w:val="single" w:sz="6" w:space="6" w:color="E2E5EA"/>
        </w:pBdr>
        <w:keepNext/>
      </w:pPr>
      <w:r>
        <w:rPr>
          <w:b/>
          <w:caps/>
          <w:color w:val="D5271A"/>
          <w:sz w:val="17"/>
          <w:szCs w:val="17"/>
          <w:spacing w:val="24"/>
        </w:rPr>
        <w:t xml:space="preserve">SECTION 06</w:t>
      </w:r>
    </w:p>
    <w:p>
      <w:pPr>
        <w:spacing w:before="60" w:after="160"/>
        <w:keepNext/>
      </w:pPr>
      <w:r>
        <w:rPr>
          <w:b/>
          <w:color w:val="9BA0A9"/>
          <w:sz w:val="30"/>
          <w:szCs w:val="30"/>
        </w:rPr>
        <w:t xml:space="preserve">06   </w:t>
      </w:r>
      <w:r>
        <w:rPr>
          <w:b/>
          <w:color w:val="15171C"/>
          <w:sz w:val="38"/>
          <w:szCs w:val="38"/>
        </w:rPr>
        <w:t xml:space="preserve">Key Design Decisions</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3100"/>
        <w:gridCol w:w="6260"/>
      </w:tblGrid>
      <w:tr>
        <w:trPr>
          <w:tblHeader/>
        </w:trPr>
        <w:tc>
          <w:tcPr>
            <w:tcW w:w="31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Design Decision</w:t>
            </w:r>
          </w:p>
        </w:tc>
        <w:tc>
          <w:tcPr>
            <w:tcW w:w="62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Rationale</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YAML as Source of Truth</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Human-readable, version-controllable, reviewable in PRs; single place to update the ontology.</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Neo4j as Runtime Store</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Graph traversal enables recipe lookup; designed for future multi-hop join path discovery.</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Dictionary-based Intent Extraction</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Fast (~1ms), deterministic, zero LLM cost for intent detection; no hallucination risk.</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LLM Only for SQL Generation</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Constrained role — assembles SQL from pre-validated components; cannot invent columns or tables.</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Pre-built WHERE Clauses</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Filters constructed in Python, not by the LLM — eliminates SQL injection risk entirely.</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views.yaml as Local Registry</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Guards against stale Neo4j data; canonical view names always resolved from local file.</w:t>
            </w:r>
          </w:p>
        </w:tc>
      </w:tr>
      <w:tr>
        <w:tc>
          <w:tcPr>
            <w:tcW w:w="3100" w:type="dxa"/>
            <w:tcMar>
              <w:top w:w="80" w:type="dxa"/>
              <w:left w:w="130" w:type="dxa"/>
              <w:bottom w:w="80" w:type="dxa"/>
              <w:right w:w="130" w:type="dxa"/>
            </w:tcMar>
            <w:vAlign w:val="center"/>
          </w:tcPr>
          <w:p>
            <w:pPr>
              <w:spacing w:after="0" w:line="252" w:lineRule="auto"/>
            </w:pPr>
            <w:r>
              <w:rPr>
                <w:b/>
                <w:color w:val="15171C"/>
                <w:sz w:val="20"/>
                <w:szCs w:val="20"/>
              </w:rPr>
              <w:t xml:space="preserve">Delete &amp; Reload Seeding</w:t>
            </w:r>
          </w:p>
        </w:tc>
        <w:tc>
          <w:tcPr>
            <w:tcW w:w="6260" w:type="dxa"/>
            <w:tcMar>
              <w:top w:w="80" w:type="dxa"/>
              <w:left w:w="130" w:type="dxa"/>
              <w:bottom w:w="80" w:type="dxa"/>
              <w:right w:w="130" w:type="dxa"/>
            </w:tcMar>
            <w:vAlign w:val="center"/>
          </w:tcPr>
          <w:p>
            <w:pPr>
              <w:spacing w:after="0" w:line="252" w:lineRule="auto"/>
            </w:pPr>
            <w:r>
              <w:rPr>
                <w:color w:val="33373E"/>
                <w:sz w:val="20"/>
                <w:szCs w:val="20"/>
              </w:rPr>
              <w:t xml:space="preserve">Idempotent; handles renames; no complex migration / diff logic; full seed completes in ~10 seconds.</w:t>
            </w:r>
          </w:p>
        </w:tc>
      </w:tr>
    </w:tbl>
    <w:p>
      <w:pPr>
        <w:pStyle w:val="Heading1"/>
        <w:spacing w:before="420" w:after="40"/>
        <w:pBdr>
          <w:bottom w:val="single" w:sz="6" w:space="6" w:color="E2E5EA"/>
        </w:pBdr>
        <w:keepNext/>
      </w:pPr>
      <w:r>
        <w:rPr>
          <w:b/>
          <w:caps/>
          <w:color w:val="D5271A"/>
          <w:sz w:val="17"/>
          <w:szCs w:val="17"/>
          <w:spacing w:val="24"/>
        </w:rPr>
        <w:t xml:space="preserve">SECTION 07</w:t>
      </w:r>
    </w:p>
    <w:p>
      <w:pPr>
        <w:spacing w:before="60" w:after="160"/>
        <w:keepNext/>
      </w:pPr>
      <w:r>
        <w:rPr>
          <w:b/>
          <w:color w:val="9BA0A9"/>
          <w:sz w:val="30"/>
          <w:szCs w:val="30"/>
        </w:rPr>
        <w:t xml:space="preserve">07   </w:t>
      </w:r>
      <w:r>
        <w:rPr>
          <w:b/>
          <w:color w:val="15171C"/>
          <w:sz w:val="38"/>
          <w:szCs w:val="38"/>
        </w:rPr>
        <w:t xml:space="preserve">Adding a New KPI</w:t>
      </w:r>
    </w:p>
    <w:p>
      <w:pPr>
        <w:spacing w:before="140" w:after="0" w:line="240" w:lineRule="auto"/>
        <w:ind w:left="60"/>
        <w:shd w:val="clear" w:color="auto" w:fill="ECF6EF"/>
        <w:pBdr>
          <w:left w:val="single" w:sz="22" w:space="14" w:color="2C7A45"/>
        </w:pBdr>
      </w:pPr>
      <w:r>
        <w:rPr>
          <w:b/>
          <w:caps/>
          <w:color w:val="2C7A45"/>
          <w:sz w:val="17"/>
          <w:szCs w:val="17"/>
          <w:spacing w:val="24"/>
        </w:rPr>
        <w:t xml:space="preserve">No Python code changes required</w:t>
      </w:r>
    </w:p>
    <w:p>
      <w:pPr>
        <w:spacing w:after="160" w:line="276" w:lineRule="auto"/>
        <w:ind w:left="60"/>
        <w:shd w:val="clear" w:color="auto" w:fill="ECF6EF"/>
        <w:pBdr>
          <w:left w:val="single" w:sz="22" w:space="14" w:color="2C7A45"/>
        </w:pBdr>
      </w:pPr>
      <w:r>
        <w:rPr>
          <w:color w:val="15171C"/>
          <w:sz w:val="22"/>
          <w:szCs w:val="22"/>
        </w:rPr>
        <w:t xml:space="preserve">New KPIs are added entirely through YAML configuration. After seeding the ontology and restarting the server, the new KPI is immediately available to users.</w:t>
      </w:r>
    </w:p>
    <w:p>
      <w:pPr>
        <w:spacing w:after="140" w:line="276" w:lineRule="auto"/>
      </w:pPr>
      <w:r>
        <w:rPr>
          <w:color w:val="33373E"/>
          <w:sz w:val="22"/>
          <w:szCs w:val="22"/>
        </w:rPr>
        <w:t xml:space="preserve">Follow these steps in order when adding a new KPI:</w:t>
      </w:r>
    </w:p>
    <w:tbl>
      <w:tblPr>
        <w:tblW w:w="9360" w:type="dxa"/>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CellMar>
          <w:left w:w="130" w:type="dxa"/>
          <w:right w:w="130" w:type="dxa"/>
        </w:tblCellMar>
      </w:tblPr>
      <w:tblGrid>
        <w:gridCol w:w="760"/>
        <w:gridCol w:w="5100"/>
        <w:gridCol w:w="3500"/>
      </w:tblGrid>
      <w:tr>
        <w:trPr>
          <w:tblHeader/>
        </w:trPr>
        <w:tc>
          <w:tcPr>
            <w:tcW w:w="76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w:t>
            </w:r>
          </w:p>
        </w:tc>
        <w:tc>
          <w:tcPr>
            <w:tcW w:w="51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Action</w:t>
            </w:r>
          </w:p>
        </w:tc>
        <w:tc>
          <w:tcPr>
            <w:tcW w:w="3500" w:type="dxa"/>
            <w:shd w:val="clear" w:color="auto" w:fill="F4F6F8"/>
            <w:tcMar>
              <w:top w:w="80" w:type="dxa"/>
              <w:left w:w="130" w:type="dxa"/>
              <w:bottom w:w="80" w:type="dxa"/>
              <w:right w:w="130" w:type="dxa"/>
            </w:tcMar>
            <w:vAlign w:val="center"/>
          </w:tcPr>
          <w:p>
            <w:pPr>
              <w:spacing w:after="0" w:line="240" w:lineRule="auto"/>
            </w:pPr>
            <w:r>
              <w:rPr>
                <w:b/>
                <w:caps/>
                <w:color w:val="6A6F78"/>
                <w:sz w:val="16"/>
                <w:szCs w:val="16"/>
                <w:spacing w:val="14"/>
              </w:rPr>
              <w:t xml:space="preserve">File(s) to Edit</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1</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Create or edit the KPI recipe</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ontology/kpis/your_domain.yaml</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2</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Add view definitions (if using new views)</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ontology/schema/views.yaml</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3</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Add join paths (if multi-view query needed)</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ontology/schema/joins.yaml</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4</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Add synonyms and term mappings</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ontology/schema/terms.yaml</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5</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Add disambiguation rules (if terms are ambiguous)</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B4231A"/>
                <w:sz w:val="18"/>
                <w:szCs w:val="18"/>
              </w:rPr>
              <w:t xml:space="preserve">ontology/schema/disambiguation.yaml</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6</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Seed the ontology into Neo4j</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python -m scripts.seed_ontology</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7</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Restart the application server</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FastAPI process restart</w:t>
            </w:r>
          </w:p>
        </w:tc>
      </w:tr>
      <w:tr>
        <w:tc>
          <w:tcPr>
            <w:tcW w:w="760" w:type="dxa"/>
            <w:shd w:val="clear" w:color="auto" w:fill="D5271A"/>
            <w:tcMar>
              <w:top w:w="80" w:type="dxa"/>
              <w:left w:w="130" w:type="dxa"/>
              <w:bottom w:w="80" w:type="dxa"/>
              <w:right w:w="130" w:type="dxa"/>
            </w:tcMar>
            <w:vAlign w:val="center"/>
          </w:tcPr>
          <w:p>
            <w:pPr>
              <w:spacing w:after="0"/>
              <w:jc w:val="center"/>
            </w:pPr>
            <w:r>
              <w:rPr>
                <w:b/>
                <w:color w:val="FFFFFF"/>
                <w:sz w:val="20"/>
                <w:szCs w:val="20"/>
              </w:rPr>
              <w:t xml:space="preserve">8</w:t>
            </w:r>
          </w:p>
        </w:tc>
        <w:tc>
          <w:tcPr>
            <w:tcW w:w="5100" w:type="dxa"/>
            <w:tcMar>
              <w:top w:w="80" w:type="dxa"/>
              <w:left w:w="130" w:type="dxa"/>
              <w:bottom w:w="80" w:type="dxa"/>
              <w:right w:w="130" w:type="dxa"/>
            </w:tcMar>
            <w:vAlign w:val="center"/>
          </w:tcPr>
          <w:p>
            <w:pPr>
              <w:spacing w:after="0" w:line="252" w:lineRule="auto"/>
            </w:pPr>
            <w:r>
              <w:rPr>
                <w:b/>
                <w:color w:val="15171C"/>
                <w:sz w:val="20"/>
                <w:szCs w:val="20"/>
              </w:rPr>
              <w:t xml:space="preserve">Test with representative user questions</w:t>
            </w:r>
          </w:p>
        </w:tc>
        <w:tc>
          <w:tcPr>
            <w:tcW w:w="3500" w:type="dxa"/>
            <w:tcMar>
              <w:top w:w="80" w:type="dxa"/>
              <w:left w:w="130" w:type="dxa"/>
              <w:bottom w:w="80" w:type="dxa"/>
              <w:right w:w="130" w:type="dxa"/>
            </w:tcMar>
            <w:vAlign w:val="center"/>
          </w:tcPr>
          <w:p>
            <w:pPr>
              <w:spacing w:after="0" w:line="252" w:lineRule="auto"/>
            </w:pPr>
            <w:r>
              <w:rPr>
                <w:rFonts w:ascii="Consolas" w:hAnsi="Consolas" w:cs="Consolas"/>
                <w:color w:val="15171C"/>
                <w:sz w:val="18"/>
                <w:szCs w:val="18"/>
              </w:rPr>
              <w:t xml:space="preserve">POST /api/ask</w:t>
            </w:r>
          </w:p>
        </w:tc>
      </w:tr>
    </w:tbl>
    <w:p>
      <w:pPr>
        <w:spacing w:before="400" w:after="0"/>
        <w:jc w:val="center"/>
        <w:pBdr>
          <w:bottom w:val="single" w:sz="6" w:space="6" w:color="E2E5EA"/>
        </w:pBdr>
      </w:pPr>
      <w:r>
        <w:rPr>
          <w:caps/>
          <w:color w:val="9BA0A9"/>
          <w:sz w:val="17"/>
          <w:szCs w:val="17"/>
          <w:spacing w:val="16"/>
        </w:rPr>
        <w:t xml:space="preserve">Unifi KPI Ontology-Enabled Chatbot — Architecture &amp; Flow Document   ·   iLink Digital   ·   v1.0   ·   Confidential</w:t>
      </w:r>
    </w:p>
    <w:sectPr>
      <w:pgSz w:w="12240" w:h="15840"/>
      <w:pgMar w:top="1280" w:right="1440" w:bottom="128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60" w:hanging="280"/>
      </w:pPr>
      <w:rPr>
        <w:rFonts w:ascii="Public Sans" w:hAnsi="Public Sans" w:hint="default"/>
        <w:color w:val="D5271A"/>
      </w:rPr>
    </w:lvl>
  </w:abstractNum>
  <w:num w:numId="1">
    <w:abstractNumId w:val="0"/>
  </w:num>
</w:numbering>
</file>

<file path=word/styles.xml><?xml version="1.0" encoding="utf-8"?>
<w:styles xmlns:w="http://schemas.openxmlformats.org/wordprocessingml/2006/main">
  <w:docDefaults>
    <w:rPrDefault>
      <w:rPr>
        <w:rFonts w:ascii="Public Sans" w:hAnsi="Public Sans" w:cs="Public Sans"/>
        <w:color w:val="33373E"/>
        <w:sz w:val="22"/>
        <w:szCs w:val="22"/>
      </w:rPr>
    </w:rPrDefault>
    <w:pPrDefault>
      <w:pPr>
        <w:spacing w:after="160" w:line="276" w:lineRule="auto"/>
      </w:pPr>
    </w:pPrDefault>
  </w:docDefaults>
  <w:style w:type="paragraph" w:default="1" w:styleId="Normal">
    <w:name w:val="Normal"/>
  </w:style>
  <w:style w:type="paragraph" w:styleId="Heading1">
    <w:name w:val="heading 1"/>
    <w:basedOn w:val="Normal"/>
    <w:next w:val="Normal"/>
    <w:qFormat/>
    <w:pPr>
      <w:keepNext/>
      <w:outlineLvl w:val="0"/>
    </w:pPr>
  </w:style>
  <w:style w:type="paragraph" w:styleId="Heading2">
    <w:name w:val="heading 2"/>
    <w:basedOn w:val="Normal"/>
    <w:next w:val="Normal"/>
    <w:qFormat/>
    <w:pPr>
      <w:keepNext/>
      <w:outlineLvl w:val="1"/>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Unifi KPI Ontology using Neo4j — Architecture &amp; Flow</dc:title>
  <dc:creator>iLink Digital</dc:creator>
  <cp:revision>1</cp:revision>
</cp:coreProperties>
</file>