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0A2540"/>
          <w:sz w:val="40"/>
        </w:rPr>
        <w:t>PERCEPTION-X: AI-BASED AMBIGUOUS IMAGE DETECTION,</w:t>
        <w:br/>
        <w:t>MULTI-CATEGORY OPTICAL ILLUSION CLASSIFICATION, AND EXPLAINABLE FORENSIC PIPELINE</w:t>
      </w:r>
    </w:p>
    <w:p>
      <w:pPr>
        <w:spacing w:after="360"/>
        <w:jc w:val="center"/>
      </w:pPr>
      <w:r>
        <w:rPr>
          <w:rFonts w:ascii="Calibri" w:hAnsi="Calibri"/>
          <w:i/>
          <w:color w:val="4A5568"/>
          <w:sz w:val="22"/>
        </w:rPr>
        <w:t>Comprehensive Research Synthesis, Dataset Architecture, Workflow Specification, and Project Implementation Guide</w:t>
        <w:br/>
        <w:t>Based on COLM 2024, IEEE ISWTA 2024, Springer Applied Intelligence 2024, AIP APL 2024, Frontiers in AI 2026</w:t>
      </w:r>
    </w:p>
    <w:p>
      <w:pPr>
        <w:pStyle w:val="Heading1"/>
      </w:pPr>
      <w:r>
        <w:t>1. Executive Summary &amp; Research Need</w:t>
      </w:r>
    </w:p>
    <w:p>
      <w:r>
        <w:t>Human visual perception can be misled by certain spatial patterns, resulting in optical illusions and ambiguous figures that are interpreted differently from their true physical content. While well-studied in psychology and vision science, there is no widely available automated system that can reliably detect whether an image contains an illusion, classify its specific type, explain why the illusion occurs, and distinguish a naturally occurring illusion from a digitally manipulated or deceptive image.</w:t>
        <w:br/>
        <w:br/>
        <w:t>Existing computer vision architectures are trained on natural, unambiguous imagery and fail when confronted with illusion-specific visual cues such as contrast induction, repeated geometric patterns, perspective tricks, or multistable figure-ground relationships. Perception-X provides an end-to-end, multi-stage AI framework that unifies Vision-Language comprehension, Graph Neural Network contextualization, U-Net pixel-level localization, bio-inspired quantum-tunnelling ambiguity handling, and forensic forgery detection into a deployable pipeline.</w:t>
      </w: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200" w:type="dxa"/>
            </w:tcMar>
          </w:tcPr>
          <w:p>
            <w:pPr>
              <w:spacing w:before="80" w:after="40"/>
            </w:pPr>
            <w:r>
              <w:rPr>
                <w:rFonts w:ascii="Calibri" w:hAnsi="Calibri"/>
                <w:b/>
                <w:color w:val="1B365D"/>
                <w:sz w:val="21"/>
              </w:rPr>
              <w:t xml:space="preserve">[CORE CONTRIBUTION] </w:t>
            </w:r>
            <w:r>
              <w:rPr>
                <w:rFonts w:ascii="Calibri" w:hAnsi="Calibri"/>
                <w:sz w:val="20"/>
              </w:rPr>
              <w:t>Perception-X bridges five fragmented research threads: Vision-Language Model benchmarks (IllusionVQA), multi-modal graph fusion (Leong 2024), low-level receptive field replication (Mukherjee 2024), quantum-tunnelling bistability (Maksymov 2024), and digital manipulation detection (DeepForgeryNet 2026).</w:t>
            </w:r>
          </w:p>
        </w:tc>
      </w:tr>
    </w:tbl>
    <w:p>
      <w:pPr>
        <w:spacing w:after="120"/>
      </w:pPr>
    </w:p>
    <w:p>
      <w:pPr>
        <w:pStyle w:val="Heading1"/>
      </w:pPr>
      <w:r>
        <w:t>2. Literature Review of Reviewed Research Papers</w:t>
      </w:r>
    </w:p>
    <w:p>
      <w:pPr>
        <w:pStyle w:val="Heading2"/>
      </w:pPr>
      <w:r>
        <w:t>2.1 Paper 1: IllusionVQA: A Challenging Optical Illusion Dataset for Vision Language Models</w:t>
      </w:r>
    </w:p>
    <w:p>
      <w:pPr>
        <w:pStyle w:val="Caption"/>
      </w:pPr>
      <w:r>
        <w:t>Authors &amp; Venue: Shahgir et al. (2024) — COLM 2024 (Conference on Language Modeling)</w:t>
      </w:r>
    </w:p>
    <w:p>
      <w:r>
        <w:t>Summary: Introduces IllusionVQA, a diverse benchmark of optical illusions and hard-to-interpret images used to test Vision-Language Models (VLMs) on comprehension and soft localization. GPT-4V achieved only ~63% on comprehension and &lt;50% on localization, proving current VLMs do not perceive illusions as humans do.</w:t>
      </w:r>
    </w:p>
    <w:p>
      <w:r>
        <w:t>Algorithm / Technique: Vision Transformers / Vision-Language Models (GPT-4V class) with few-shot and Chain-of-Thought prompting.</w:t>
      </w:r>
    </w:p>
    <w:p>
      <w:r>
        <w:t>Key Advantages: Spans diverse illusion categories; dual evaluation of comprehension and spatial localization; enables direct human vs. AI benchmarking.</w:t>
      </w:r>
    </w:p>
    <w:p>
      <w:r>
        <w:t>Key Disadvantages: Poor localization boundaries; no pixel-level heatmaps; dependency on expensive closed models.</w:t>
      </w:r>
    </w:p>
    <w:p>
      <w:r>
        <w:t>Research Gap Addressed: Lacks an end-to-end deployable classifier that outputs both classification and causal trigger heatmaps.</w:t>
      </w:r>
    </w:p>
    <w:p>
      <w:pPr>
        <w:pStyle w:val="Heading2"/>
      </w:pPr>
      <w:r>
        <w:t>2.2 Paper 2: A Multi-Modal Deep Learning Approach for Enhanced Optical Illusion Recognition</w:t>
      </w:r>
    </w:p>
    <w:p>
      <w:pPr>
        <w:pStyle w:val="Caption"/>
      </w:pPr>
      <w:r>
        <w:t>Authors &amp; Venue: Leong, W.Y. (2024) — IEEE 8th Symposium on Wireless Technology &amp; Applications (ISWTA)</w:t>
      </w:r>
    </w:p>
    <w:p>
      <w:r>
        <w:t>Summary: Proposes a multi-modal deep learning model fusing visual features with contextual graph priors. A CNN extracts low-level visual features while a Graph Neural Network (GNN) models spatial relationships across image patches.</w:t>
      </w:r>
    </w:p>
    <w:p>
      <w:r>
        <w:t>Algorithm / Technique: CNN-based visual feature extractor + Graph Neural Network (GNN) contextual fusion.</w:t>
      </w:r>
    </w:p>
    <w:p>
      <w:r>
        <w:t>Key Advantages: Fusing visual and contextual cues outperforms CNN-only baselines; covers geometric, color, and motion categories.</w:t>
      </w:r>
    </w:p>
    <w:p>
      <w:r>
        <w:t>Key Disadvantages: High computational overhead from multi-modal fusion; no explainability heatmaps; evaluated on small dataset.</w:t>
      </w:r>
    </w:p>
    <w:p>
      <w:r>
        <w:t>Research Gap Addressed: Needs a lightweight, explainable variant suitable for real-time web deployment.</w:t>
      </w:r>
    </w:p>
    <w:p>
      <w:pPr>
        <w:pStyle w:val="Heading2"/>
      </w:pPr>
      <w:r>
        <w:t>2.3 Paper 3: Deep Learning Models for Perception of Brightness Related Illusions</w:t>
      </w:r>
    </w:p>
    <w:p>
      <w:pPr>
        <w:pStyle w:val="Caption"/>
      </w:pPr>
      <w:r>
        <w:t>Authors &amp; Venue: Mukherjee, A.; Paul, A.; Ghosh, K. (2024) — Applied Intelligence (Springer), Vol. 54(21)</w:t>
      </w:r>
    </w:p>
    <w:p>
      <w:r>
        <w:t>Summary: Studies how deep networks trained for low-level tasks (denoising, deblurring) replicate human brightness illusions (Hermann grid, White's illusion). U-Net and U-Net++ architectures closely match human psychophysical responses and generalize across antagonistic illusion types.</w:t>
      </w:r>
    </w:p>
    <w:p>
      <w:r>
        <w:t>Algorithm / Technique: CNN, Autoencoder, U-Net, and U-Net++ encoder-decoder segmentation architectures.</w:t>
      </w:r>
    </w:p>
    <w:p>
      <w:r>
        <w:t>Key Advantages: U-Net naturally supports pixel-level output for explainability; validated against human psychophysical luminance data.</w:t>
      </w:r>
    </w:p>
    <w:p>
      <w:r>
        <w:t>Key Disadvantages: Restricted to brightness/contrast illusions only; no multi-class taxonomy; no confidence scoring UI.</w:t>
      </w:r>
    </w:p>
    <w:p>
      <w:r>
        <w:t>Research Gap Addressed: No unified framework covering brightness illusions alongside geometric, motion, and depth illusions.</w:t>
      </w:r>
    </w:p>
    <w:p>
      <w:pPr>
        <w:pStyle w:val="Heading2"/>
      </w:pPr>
      <w:r>
        <w:t>2.4 Paper 4: Quantum-Tunnelling Deep Neural Network for Optical Illusion Recognition</w:t>
      </w:r>
    </w:p>
    <w:p>
      <w:pPr>
        <w:pStyle w:val="Caption"/>
      </w:pPr>
      <w:r>
        <w:t>Authors &amp; Venue: Maksymov, I.S. (2024) — APL Machine Learning, AIP Publishing</w:t>
      </w:r>
    </w:p>
    <w:p>
      <w:r>
        <w:t>Summary: Introduces QT-DNN, using a quantum-tunnelling inspired activation function to simulate human perception of multistable figures (Necker cube, Rubin's vase). Reproduces spontaneous perceptual switching rather than locking onto a single rigid label.</w:t>
      </w:r>
    </w:p>
    <w:p>
      <w:r>
        <w:t>Algorithm / Technique: Quantum-Tunnelling-based activation function within Deep Neural Networks.</w:t>
      </w:r>
    </w:p>
    <w:p>
      <w:r>
        <w:t>Key Advantages: Produces human-like oscillating/ambiguous outputs for bistable figures; grounded in physical double-well potential.</w:t>
      </w:r>
    </w:p>
    <w:p>
      <w:r>
        <w:t>Key Disadvantages: Proof-of-concept scale; tested on few stimuli; not benchmarked on large datasets.</w:t>
      </w:r>
    </w:p>
    <w:p>
      <w:r>
        <w:t>Research Gap Addressed: No large-scale, production-ready classifier integrating this bio-inspired principle.</w:t>
      </w:r>
    </w:p>
    <w:p>
      <w:pPr>
        <w:pStyle w:val="Heading2"/>
      </w:pPr>
      <w:r>
        <w:t>2.5 Paper 5: DeepForgeryNet: A Hybrid CNN–LSTM and Transfer Learning Framework for Robust Image Forgery</w:t>
      </w:r>
    </w:p>
    <w:p>
      <w:pPr>
        <w:pStyle w:val="Caption"/>
      </w:pPr>
      <w:r>
        <w:t>Authors &amp; Venue: DeepForgeryNet Authors (2026) — Frontiers in Artificial Intelligence</w:t>
      </w:r>
    </w:p>
    <w:p>
      <w:r>
        <w:t>Summary: Presents an artifact-aware architecture combining transfer-learning CNN spatial features with an LSTM to model sequential manipulation artifacts, detecting digital splicing and deepfakes across public benchmarks.</w:t>
      </w:r>
    </w:p>
    <w:p>
      <w:r>
        <w:t>Algorithm / Technique: Hybrid CNN (transfer learning) + LSTM (Long Short-Term Memory) network.</w:t>
      </w:r>
    </w:p>
    <w:p>
      <w:r>
        <w:t>Key Advantages: Captures low-level artifact traces and high-level contextual inconsistencies; robust cross-dataset generalization.</w:t>
      </w:r>
    </w:p>
    <w:p>
      <w:r>
        <w:t>Key Disadvantages: Heavier computational cost; designed for malicious manipulation, not optical illusions.</w:t>
      </w:r>
    </w:p>
    <w:p>
      <w:r>
        <w:t>Research Gap Addressed: No integration between illusion detection and digital manipulation detection pipelines.</w:t>
      </w:r>
    </w:p>
    <w:p>
      <w:pPr>
        <w:pStyle w:val="Heading1"/>
      </w:pPr>
      <w:r>
        <w:t>3. Literature Review Summary Table (Table 1.1)</w:t>
      </w:r>
    </w:p>
    <w:tbl>
      <w:tblPr>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fill="0A2540"/>
          </w:tcPr>
          <w:p>
            <w:pPr>
              <w:spacing w:before="40" w:after="40"/>
            </w:pPr>
            <w:r>
              <w:rPr>
                <w:rFonts w:ascii="Calibri" w:hAnsi="Calibri"/>
                <w:b/>
                <w:color w:val="FFFFFF"/>
                <w:sz w:val="17"/>
              </w:rPr>
              <w:t>Sl.</w:t>
            </w:r>
          </w:p>
        </w:tc>
        <w:tc>
          <w:tcPr>
            <w:tcW w:type="dxa" w:w="1104"/>
            <w:shd w:fill="0A2540"/>
          </w:tcPr>
          <w:p>
            <w:pPr>
              <w:spacing w:before="40" w:after="40"/>
            </w:pPr>
            <w:r>
              <w:rPr>
                <w:rFonts w:ascii="Calibri" w:hAnsi="Calibri"/>
                <w:b/>
                <w:color w:val="FFFFFF"/>
                <w:sz w:val="17"/>
              </w:rPr>
              <w:t>Authors &amp; Year</w:t>
            </w:r>
          </w:p>
        </w:tc>
        <w:tc>
          <w:tcPr>
            <w:tcW w:type="dxa" w:w="1104"/>
            <w:shd w:fill="0A2540"/>
          </w:tcPr>
          <w:p>
            <w:pPr>
              <w:spacing w:before="40" w:after="40"/>
            </w:pPr>
            <w:r>
              <w:rPr>
                <w:rFonts w:ascii="Calibri" w:hAnsi="Calibri"/>
                <w:b/>
                <w:color w:val="FFFFFF"/>
                <w:sz w:val="17"/>
              </w:rPr>
              <w:t>Paper Title</w:t>
            </w:r>
          </w:p>
        </w:tc>
        <w:tc>
          <w:tcPr>
            <w:tcW w:type="dxa" w:w="1104"/>
            <w:shd w:fill="0A2540"/>
          </w:tcPr>
          <w:p>
            <w:pPr>
              <w:spacing w:before="40" w:after="40"/>
            </w:pPr>
            <w:r>
              <w:rPr>
                <w:rFonts w:ascii="Calibri" w:hAnsi="Calibri"/>
                <w:b/>
                <w:color w:val="FFFFFF"/>
                <w:sz w:val="17"/>
              </w:rPr>
              <w:t>Venue</w:t>
            </w:r>
          </w:p>
        </w:tc>
        <w:tc>
          <w:tcPr>
            <w:tcW w:type="dxa" w:w="1104"/>
            <w:shd w:fill="0A2540"/>
          </w:tcPr>
          <w:p>
            <w:pPr>
              <w:spacing w:before="40" w:after="40"/>
            </w:pPr>
            <w:r>
              <w:rPr>
                <w:rFonts w:ascii="Calibri" w:hAnsi="Calibri"/>
                <w:b/>
                <w:color w:val="FFFFFF"/>
                <w:sz w:val="17"/>
              </w:rPr>
              <w:t>Research Focus</w:t>
            </w:r>
          </w:p>
        </w:tc>
        <w:tc>
          <w:tcPr>
            <w:tcW w:type="dxa" w:w="1104"/>
            <w:shd w:fill="0A2540"/>
          </w:tcPr>
          <w:p>
            <w:pPr>
              <w:spacing w:before="40" w:after="40"/>
            </w:pPr>
            <w:r>
              <w:rPr>
                <w:rFonts w:ascii="Calibri" w:hAnsi="Calibri"/>
                <w:b/>
                <w:color w:val="FFFFFF"/>
                <w:sz w:val="17"/>
              </w:rPr>
              <w:t>Methodology</w:t>
            </w:r>
          </w:p>
        </w:tc>
        <w:tc>
          <w:tcPr>
            <w:tcW w:type="dxa" w:w="1104"/>
            <w:shd w:fill="0A2540"/>
          </w:tcPr>
          <w:p>
            <w:pPr>
              <w:spacing w:before="40" w:after="40"/>
            </w:pPr>
            <w:r>
              <w:rPr>
                <w:rFonts w:ascii="Calibri" w:hAnsi="Calibri"/>
                <w:b/>
                <w:color w:val="FFFFFF"/>
                <w:sz w:val="17"/>
              </w:rPr>
              <w:t>Key Contribution</w:t>
            </w:r>
          </w:p>
        </w:tc>
        <w:tc>
          <w:tcPr>
            <w:tcW w:type="dxa" w:w="1104"/>
            <w:shd w:fill="0A2540"/>
          </w:tcPr>
          <w:p>
            <w:pPr>
              <w:spacing w:before="40" w:after="40"/>
            </w:pPr>
            <w:r>
              <w:rPr>
                <w:rFonts w:ascii="Calibri" w:hAnsi="Calibri"/>
                <w:b/>
                <w:color w:val="FFFFFF"/>
                <w:sz w:val="17"/>
              </w:rPr>
              <w:t>Dataset</w:t>
            </w:r>
          </w:p>
        </w:tc>
        <w:tc>
          <w:tcPr>
            <w:tcW w:type="dxa" w:w="1104"/>
            <w:shd w:fill="0A2540"/>
          </w:tcPr>
          <w:p>
            <w:pPr>
              <w:spacing w:before="40" w:after="40"/>
            </w:pPr>
            <w:r>
              <w:rPr>
                <w:rFonts w:ascii="Calibri" w:hAnsi="Calibri"/>
                <w:b/>
                <w:color w:val="FFFFFF"/>
                <w:sz w:val="17"/>
              </w:rPr>
              <w:t>Research Gap Found</w:t>
            </w:r>
          </w:p>
        </w:tc>
      </w:tr>
      <w:tr>
        <w:tc>
          <w:tcPr>
            <w:tcW w:type="dxa" w:w="1104"/>
            <w:shd w:fill="F7FAFC"/>
          </w:tcPr>
          <w:p>
            <w:pPr>
              <w:spacing w:before="40" w:after="40"/>
            </w:pPr>
            <w:r>
              <w:rPr>
                <w:rFonts w:ascii="Calibri" w:hAnsi="Calibri"/>
                <w:sz w:val="16"/>
              </w:rPr>
              <w:t>1</w:t>
            </w:r>
          </w:p>
        </w:tc>
        <w:tc>
          <w:tcPr>
            <w:tcW w:type="dxa" w:w="1104"/>
            <w:shd w:fill="F7FAFC"/>
          </w:tcPr>
          <w:p>
            <w:pPr>
              <w:spacing w:before="40" w:after="40"/>
            </w:pPr>
            <w:r>
              <w:rPr>
                <w:rFonts w:ascii="Calibri" w:hAnsi="Calibri"/>
                <w:sz w:val="16"/>
              </w:rPr>
              <w:t>Shahgir et al. (2024)</w:t>
            </w:r>
          </w:p>
        </w:tc>
        <w:tc>
          <w:tcPr>
            <w:tcW w:type="dxa" w:w="1104"/>
            <w:shd w:fill="F7FAFC"/>
          </w:tcPr>
          <w:p>
            <w:pPr>
              <w:spacing w:before="40" w:after="40"/>
            </w:pPr>
            <w:r>
              <w:rPr>
                <w:rFonts w:ascii="Calibri" w:hAnsi="Calibri"/>
                <w:sz w:val="16"/>
              </w:rPr>
              <w:t>IllusionVQA</w:t>
            </w:r>
          </w:p>
        </w:tc>
        <w:tc>
          <w:tcPr>
            <w:tcW w:type="dxa" w:w="1104"/>
            <w:shd w:fill="F7FAFC"/>
          </w:tcPr>
          <w:p>
            <w:pPr>
              <w:spacing w:before="40" w:after="40"/>
            </w:pPr>
            <w:r>
              <w:rPr>
                <w:rFonts w:ascii="Calibri" w:hAnsi="Calibri"/>
                <w:sz w:val="16"/>
              </w:rPr>
              <w:t>COLM 2024</w:t>
            </w:r>
          </w:p>
        </w:tc>
        <w:tc>
          <w:tcPr>
            <w:tcW w:type="dxa" w:w="1104"/>
            <w:shd w:fill="F7FAFC"/>
          </w:tcPr>
          <w:p>
            <w:pPr>
              <w:spacing w:before="40" w:after="40"/>
            </w:pPr>
            <w:r>
              <w:rPr>
                <w:rFonts w:ascii="Calibri" w:hAnsi="Calibri"/>
                <w:sz w:val="16"/>
              </w:rPr>
              <w:t>VLM comprehension &amp; spatial localization</w:t>
            </w:r>
          </w:p>
        </w:tc>
        <w:tc>
          <w:tcPr>
            <w:tcW w:type="dxa" w:w="1104"/>
            <w:shd w:fill="F7FAFC"/>
          </w:tcPr>
          <w:p>
            <w:pPr>
              <w:spacing w:before="40" w:after="40"/>
            </w:pPr>
            <w:r>
              <w:rPr>
                <w:rFonts w:ascii="Calibri" w:hAnsi="Calibri"/>
                <w:sz w:val="16"/>
              </w:rPr>
              <w:t>VLM (GPT-4V) + few-shot CoT</w:t>
            </w:r>
          </w:p>
        </w:tc>
        <w:tc>
          <w:tcPr>
            <w:tcW w:type="dxa" w:w="1104"/>
            <w:shd w:fill="F7FAFC"/>
          </w:tcPr>
          <w:p>
            <w:pPr>
              <w:spacing w:before="40" w:after="40"/>
            </w:pPr>
            <w:r>
              <w:rPr>
                <w:rFonts w:ascii="Calibri" w:hAnsi="Calibri"/>
                <w:sz w:val="16"/>
              </w:rPr>
              <w:t>Diverse illusion benchmark; VLMs lag humans</w:t>
            </w:r>
          </w:p>
        </w:tc>
        <w:tc>
          <w:tcPr>
            <w:tcW w:type="dxa" w:w="1104"/>
            <w:shd w:fill="F7FAFC"/>
          </w:tcPr>
          <w:p>
            <w:pPr>
              <w:spacing w:before="40" w:after="40"/>
            </w:pPr>
            <w:r>
              <w:rPr>
                <w:rFonts w:ascii="Calibri" w:hAnsi="Calibri"/>
                <w:sz w:val="16"/>
              </w:rPr>
              <w:t>IllusionVQA (686 Q&amp;A)</w:t>
            </w:r>
          </w:p>
        </w:tc>
        <w:tc>
          <w:tcPr>
            <w:tcW w:type="dxa" w:w="1104"/>
            <w:shd w:fill="F7FAFC"/>
          </w:tcPr>
          <w:p>
            <w:pPr>
              <w:spacing w:before="40" w:after="40"/>
            </w:pPr>
            <w:r>
              <w:rPr>
                <w:rFonts w:ascii="Calibri" w:hAnsi="Calibri"/>
                <w:sz w:val="16"/>
              </w:rPr>
              <w:t>No end-to-end classifier with causal heatmaps</w:t>
            </w:r>
          </w:p>
        </w:tc>
      </w:tr>
      <w:tr>
        <w:tc>
          <w:tcPr>
            <w:tcW w:type="dxa" w:w="1104"/>
            <w:shd w:fill="FFFFFF"/>
          </w:tcPr>
          <w:p>
            <w:pPr>
              <w:spacing w:before="40" w:after="40"/>
            </w:pPr>
            <w:r>
              <w:rPr>
                <w:rFonts w:ascii="Calibri" w:hAnsi="Calibri"/>
                <w:sz w:val="16"/>
              </w:rPr>
              <w:t>2</w:t>
            </w:r>
          </w:p>
        </w:tc>
        <w:tc>
          <w:tcPr>
            <w:tcW w:type="dxa" w:w="1104"/>
            <w:shd w:fill="FFFFFF"/>
          </w:tcPr>
          <w:p>
            <w:pPr>
              <w:spacing w:before="40" w:after="40"/>
            </w:pPr>
            <w:r>
              <w:rPr>
                <w:rFonts w:ascii="Calibri" w:hAnsi="Calibri"/>
                <w:sz w:val="16"/>
              </w:rPr>
              <w:t>Leong, W.Y. (2024)</w:t>
            </w:r>
          </w:p>
        </w:tc>
        <w:tc>
          <w:tcPr>
            <w:tcW w:type="dxa" w:w="1104"/>
            <w:shd w:fill="FFFFFF"/>
          </w:tcPr>
          <w:p>
            <w:pPr>
              <w:spacing w:before="40" w:after="40"/>
            </w:pPr>
            <w:r>
              <w:rPr>
                <w:rFonts w:ascii="Calibri" w:hAnsi="Calibri"/>
                <w:sz w:val="16"/>
              </w:rPr>
              <w:t>Multi-Modal Illusion Recog.</w:t>
            </w:r>
          </w:p>
        </w:tc>
        <w:tc>
          <w:tcPr>
            <w:tcW w:type="dxa" w:w="1104"/>
            <w:shd w:fill="FFFFFF"/>
          </w:tcPr>
          <w:p>
            <w:pPr>
              <w:spacing w:before="40" w:after="40"/>
            </w:pPr>
            <w:r>
              <w:rPr>
                <w:rFonts w:ascii="Calibri" w:hAnsi="Calibri"/>
                <w:sz w:val="16"/>
              </w:rPr>
              <w:t>IEEE ISWTA 2024</w:t>
            </w:r>
          </w:p>
        </w:tc>
        <w:tc>
          <w:tcPr>
            <w:tcW w:type="dxa" w:w="1104"/>
            <w:shd w:fill="FFFFFF"/>
          </w:tcPr>
          <w:p>
            <w:pPr>
              <w:spacing w:before="40" w:after="40"/>
            </w:pPr>
            <w:r>
              <w:rPr>
                <w:rFonts w:ascii="Calibri" w:hAnsi="Calibri"/>
                <w:sz w:val="16"/>
              </w:rPr>
              <w:t>Visual &amp; contextual cue fusion</w:t>
            </w:r>
          </w:p>
        </w:tc>
        <w:tc>
          <w:tcPr>
            <w:tcW w:type="dxa" w:w="1104"/>
            <w:shd w:fill="FFFFFF"/>
          </w:tcPr>
          <w:p>
            <w:pPr>
              <w:spacing w:before="40" w:after="40"/>
            </w:pPr>
            <w:r>
              <w:rPr>
                <w:rFonts w:ascii="Calibri" w:hAnsi="Calibri"/>
                <w:sz w:val="16"/>
              </w:rPr>
              <w:t>CNN + GNN relational fusion</w:t>
            </w:r>
          </w:p>
        </w:tc>
        <w:tc>
          <w:tcPr>
            <w:tcW w:type="dxa" w:w="1104"/>
            <w:shd w:fill="FFFFFF"/>
          </w:tcPr>
          <w:p>
            <w:pPr>
              <w:spacing w:before="40" w:after="40"/>
            </w:pPr>
            <w:r>
              <w:rPr>
                <w:rFonts w:ascii="Calibri" w:hAnsi="Calibri"/>
                <w:sz w:val="16"/>
              </w:rPr>
              <w:t>Contextual graphs improve classification</w:t>
            </w:r>
          </w:p>
        </w:tc>
        <w:tc>
          <w:tcPr>
            <w:tcW w:type="dxa" w:w="1104"/>
            <w:shd w:fill="FFFFFF"/>
          </w:tcPr>
          <w:p>
            <w:pPr>
              <w:spacing w:before="40" w:after="40"/>
            </w:pPr>
            <w:r>
              <w:rPr>
                <w:rFonts w:ascii="Calibri" w:hAnsi="Calibri"/>
                <w:sz w:val="16"/>
              </w:rPr>
              <w:t>Mixed illusion corpus</w:t>
            </w:r>
          </w:p>
        </w:tc>
        <w:tc>
          <w:tcPr>
            <w:tcW w:type="dxa" w:w="1104"/>
            <w:shd w:fill="FFFFFF"/>
          </w:tcPr>
          <w:p>
            <w:pPr>
              <w:spacing w:before="40" w:after="40"/>
            </w:pPr>
            <w:r>
              <w:rPr>
                <w:rFonts w:ascii="Calibri" w:hAnsi="Calibri"/>
                <w:sz w:val="16"/>
              </w:rPr>
              <w:t>Lacks lightweight explainable variant for web</w:t>
            </w:r>
          </w:p>
        </w:tc>
      </w:tr>
      <w:tr>
        <w:tc>
          <w:tcPr>
            <w:tcW w:type="dxa" w:w="1104"/>
            <w:shd w:fill="F7FAFC"/>
          </w:tcPr>
          <w:p>
            <w:pPr>
              <w:spacing w:before="40" w:after="40"/>
            </w:pPr>
            <w:r>
              <w:rPr>
                <w:rFonts w:ascii="Calibri" w:hAnsi="Calibri"/>
                <w:sz w:val="16"/>
              </w:rPr>
              <w:t>3</w:t>
            </w:r>
          </w:p>
        </w:tc>
        <w:tc>
          <w:tcPr>
            <w:tcW w:type="dxa" w:w="1104"/>
            <w:shd w:fill="F7FAFC"/>
          </w:tcPr>
          <w:p>
            <w:pPr>
              <w:spacing w:before="40" w:after="40"/>
            </w:pPr>
            <w:r>
              <w:rPr>
                <w:rFonts w:ascii="Calibri" w:hAnsi="Calibri"/>
                <w:sz w:val="16"/>
              </w:rPr>
              <w:t>Mukherjee et al. (2024)</w:t>
            </w:r>
          </w:p>
        </w:tc>
        <w:tc>
          <w:tcPr>
            <w:tcW w:type="dxa" w:w="1104"/>
            <w:shd w:fill="F7FAFC"/>
          </w:tcPr>
          <w:p>
            <w:pPr>
              <w:spacing w:before="40" w:after="40"/>
            </w:pPr>
            <w:r>
              <w:rPr>
                <w:rFonts w:ascii="Calibri" w:hAnsi="Calibri"/>
                <w:sz w:val="16"/>
              </w:rPr>
              <w:t>Brightness Illusion Perception</w:t>
            </w:r>
          </w:p>
        </w:tc>
        <w:tc>
          <w:tcPr>
            <w:tcW w:type="dxa" w:w="1104"/>
            <w:shd w:fill="F7FAFC"/>
          </w:tcPr>
          <w:p>
            <w:pPr>
              <w:spacing w:before="40" w:after="40"/>
            </w:pPr>
            <w:r>
              <w:rPr>
                <w:rFonts w:ascii="Calibri" w:hAnsi="Calibri"/>
                <w:sz w:val="16"/>
              </w:rPr>
              <w:t>Springer Appl. Intell.</w:t>
            </w:r>
          </w:p>
        </w:tc>
        <w:tc>
          <w:tcPr>
            <w:tcW w:type="dxa" w:w="1104"/>
            <w:shd w:fill="F7FAFC"/>
          </w:tcPr>
          <w:p>
            <w:pPr>
              <w:spacing w:before="40" w:after="40"/>
            </w:pPr>
            <w:r>
              <w:rPr>
                <w:rFonts w:ascii="Calibri" w:hAnsi="Calibri"/>
                <w:sz w:val="16"/>
              </w:rPr>
              <w:t>Replicating brightness illusions</w:t>
            </w:r>
          </w:p>
        </w:tc>
        <w:tc>
          <w:tcPr>
            <w:tcW w:type="dxa" w:w="1104"/>
            <w:shd w:fill="F7FAFC"/>
          </w:tcPr>
          <w:p>
            <w:pPr>
              <w:spacing w:before="40" w:after="40"/>
            </w:pPr>
            <w:r>
              <w:rPr>
                <w:rFonts w:ascii="Calibri" w:hAnsi="Calibri"/>
                <w:sz w:val="16"/>
              </w:rPr>
              <w:t>Autoencoder, U-Net, U-Net++</w:t>
            </w:r>
          </w:p>
        </w:tc>
        <w:tc>
          <w:tcPr>
            <w:tcW w:type="dxa" w:w="1104"/>
            <w:shd w:fill="F7FAFC"/>
          </w:tcPr>
          <w:p>
            <w:pPr>
              <w:spacing w:before="40" w:after="40"/>
            </w:pPr>
            <w:r>
              <w:rPr>
                <w:rFonts w:ascii="Calibri" w:hAnsi="Calibri"/>
                <w:sz w:val="16"/>
              </w:rPr>
              <w:t>U-Net matches human lateral inhibition</w:t>
            </w:r>
          </w:p>
        </w:tc>
        <w:tc>
          <w:tcPr>
            <w:tcW w:type="dxa" w:w="1104"/>
            <w:shd w:fill="F7FAFC"/>
          </w:tcPr>
          <w:p>
            <w:pPr>
              <w:spacing w:before="40" w:after="40"/>
            </w:pPr>
            <w:r>
              <w:rPr>
                <w:rFonts w:ascii="Calibri" w:hAnsi="Calibri"/>
                <w:sz w:val="16"/>
              </w:rPr>
              <w:t>Brightness illusion set</w:t>
            </w:r>
          </w:p>
        </w:tc>
        <w:tc>
          <w:tcPr>
            <w:tcW w:type="dxa" w:w="1104"/>
            <w:shd w:fill="F7FAFC"/>
          </w:tcPr>
          <w:p>
            <w:pPr>
              <w:spacing w:before="40" w:after="40"/>
            </w:pPr>
            <w:r>
              <w:rPr>
                <w:rFonts w:ascii="Calibri" w:hAnsi="Calibri"/>
                <w:sz w:val="16"/>
              </w:rPr>
              <w:t>Restricted to brightness; no unified taxonomy</w:t>
            </w:r>
          </w:p>
        </w:tc>
      </w:tr>
      <w:tr>
        <w:tc>
          <w:tcPr>
            <w:tcW w:type="dxa" w:w="1104"/>
            <w:shd w:fill="FFFFFF"/>
          </w:tcPr>
          <w:p>
            <w:pPr>
              <w:spacing w:before="40" w:after="40"/>
            </w:pPr>
            <w:r>
              <w:rPr>
                <w:rFonts w:ascii="Calibri" w:hAnsi="Calibri"/>
                <w:sz w:val="16"/>
              </w:rPr>
              <w:t>4</w:t>
            </w:r>
          </w:p>
        </w:tc>
        <w:tc>
          <w:tcPr>
            <w:tcW w:type="dxa" w:w="1104"/>
            <w:shd w:fill="FFFFFF"/>
          </w:tcPr>
          <w:p>
            <w:pPr>
              <w:spacing w:before="40" w:after="40"/>
            </w:pPr>
            <w:r>
              <w:rPr>
                <w:rFonts w:ascii="Calibri" w:hAnsi="Calibri"/>
                <w:sz w:val="16"/>
              </w:rPr>
              <w:t>Maksymov, I.S. (2024)</w:t>
            </w:r>
          </w:p>
        </w:tc>
        <w:tc>
          <w:tcPr>
            <w:tcW w:type="dxa" w:w="1104"/>
            <w:shd w:fill="FFFFFF"/>
          </w:tcPr>
          <w:p>
            <w:pPr>
              <w:spacing w:before="40" w:after="40"/>
            </w:pPr>
            <w:r>
              <w:rPr>
                <w:rFonts w:ascii="Calibri" w:hAnsi="Calibri"/>
                <w:sz w:val="16"/>
              </w:rPr>
              <w:t>Quantum-Tunnelling DNN</w:t>
            </w:r>
          </w:p>
        </w:tc>
        <w:tc>
          <w:tcPr>
            <w:tcW w:type="dxa" w:w="1104"/>
            <w:shd w:fill="FFFFFF"/>
          </w:tcPr>
          <w:p>
            <w:pPr>
              <w:spacing w:before="40" w:after="40"/>
            </w:pPr>
            <w:r>
              <w:rPr>
                <w:rFonts w:ascii="Calibri" w:hAnsi="Calibri"/>
                <w:sz w:val="16"/>
              </w:rPr>
              <w:t>AIP APL Mach. Learn.</w:t>
            </w:r>
          </w:p>
        </w:tc>
        <w:tc>
          <w:tcPr>
            <w:tcW w:type="dxa" w:w="1104"/>
            <w:shd w:fill="FFFFFF"/>
          </w:tcPr>
          <w:p>
            <w:pPr>
              <w:spacing w:before="40" w:after="40"/>
            </w:pPr>
            <w:r>
              <w:rPr>
                <w:rFonts w:ascii="Calibri" w:hAnsi="Calibri"/>
                <w:sz w:val="16"/>
              </w:rPr>
              <w:t>Modeling ambiguous perception</w:t>
            </w:r>
          </w:p>
        </w:tc>
        <w:tc>
          <w:tcPr>
            <w:tcW w:type="dxa" w:w="1104"/>
            <w:shd w:fill="FFFFFF"/>
          </w:tcPr>
          <w:p>
            <w:pPr>
              <w:spacing w:before="40" w:after="40"/>
            </w:pPr>
            <w:r>
              <w:rPr>
                <w:rFonts w:ascii="Calibri" w:hAnsi="Calibri"/>
                <w:sz w:val="16"/>
              </w:rPr>
              <w:t>Quantum-tunnelling activation (QT-DNN)</w:t>
            </w:r>
          </w:p>
        </w:tc>
        <w:tc>
          <w:tcPr>
            <w:tcW w:type="dxa" w:w="1104"/>
            <w:shd w:fill="FFFFFF"/>
          </w:tcPr>
          <w:p>
            <w:pPr>
              <w:spacing w:before="40" w:after="40"/>
            </w:pPr>
            <w:r>
              <w:rPr>
                <w:rFonts w:ascii="Calibri" w:hAnsi="Calibri"/>
                <w:sz w:val="16"/>
              </w:rPr>
              <w:t>Oscillating outputs for bistable figures</w:t>
            </w:r>
          </w:p>
        </w:tc>
        <w:tc>
          <w:tcPr>
            <w:tcW w:type="dxa" w:w="1104"/>
            <w:shd w:fill="FFFFFF"/>
          </w:tcPr>
          <w:p>
            <w:pPr>
              <w:spacing w:before="40" w:after="40"/>
            </w:pPr>
            <w:r>
              <w:rPr>
                <w:rFonts w:ascii="Calibri" w:hAnsi="Calibri"/>
                <w:sz w:val="16"/>
              </w:rPr>
              <w:t>Synthetic Necker &amp; Rubin stimuli</w:t>
            </w:r>
          </w:p>
        </w:tc>
        <w:tc>
          <w:tcPr>
            <w:tcW w:type="dxa" w:w="1104"/>
            <w:shd w:fill="FFFFFF"/>
          </w:tcPr>
          <w:p>
            <w:pPr>
              <w:spacing w:before="40" w:after="40"/>
            </w:pPr>
            <w:r>
              <w:rPr>
                <w:rFonts w:ascii="Calibri" w:hAnsi="Calibri"/>
                <w:sz w:val="16"/>
              </w:rPr>
              <w:t>Proof-of-concept; not deployable at scale</w:t>
            </w:r>
          </w:p>
        </w:tc>
      </w:tr>
      <w:tr>
        <w:tc>
          <w:tcPr>
            <w:tcW w:type="dxa" w:w="1104"/>
            <w:shd w:fill="F7FAFC"/>
          </w:tcPr>
          <w:p>
            <w:pPr>
              <w:spacing w:before="40" w:after="40"/>
            </w:pPr>
            <w:r>
              <w:rPr>
                <w:rFonts w:ascii="Calibri" w:hAnsi="Calibri"/>
                <w:sz w:val="16"/>
              </w:rPr>
              <w:t>5</w:t>
            </w:r>
          </w:p>
        </w:tc>
        <w:tc>
          <w:tcPr>
            <w:tcW w:type="dxa" w:w="1104"/>
            <w:shd w:fill="F7FAFC"/>
          </w:tcPr>
          <w:p>
            <w:pPr>
              <w:spacing w:before="40" w:after="40"/>
            </w:pPr>
            <w:r>
              <w:rPr>
                <w:rFonts w:ascii="Calibri" w:hAnsi="Calibri"/>
                <w:sz w:val="16"/>
              </w:rPr>
              <w:t>DeepForgeryNet (2026)</w:t>
            </w:r>
          </w:p>
        </w:tc>
        <w:tc>
          <w:tcPr>
            <w:tcW w:type="dxa" w:w="1104"/>
            <w:shd w:fill="F7FAFC"/>
          </w:tcPr>
          <w:p>
            <w:pPr>
              <w:spacing w:before="40" w:after="40"/>
            </w:pPr>
            <w:r>
              <w:rPr>
                <w:rFonts w:ascii="Calibri" w:hAnsi="Calibri"/>
                <w:sz w:val="16"/>
              </w:rPr>
              <w:t>DeepForgeryNet</w:t>
            </w:r>
          </w:p>
        </w:tc>
        <w:tc>
          <w:tcPr>
            <w:tcW w:type="dxa" w:w="1104"/>
            <w:shd w:fill="F7FAFC"/>
          </w:tcPr>
          <w:p>
            <w:pPr>
              <w:spacing w:before="40" w:after="40"/>
            </w:pPr>
            <w:r>
              <w:rPr>
                <w:rFonts w:ascii="Calibri" w:hAnsi="Calibri"/>
                <w:sz w:val="16"/>
              </w:rPr>
              <w:t>Frontiers in AI</w:t>
            </w:r>
          </w:p>
        </w:tc>
        <w:tc>
          <w:tcPr>
            <w:tcW w:type="dxa" w:w="1104"/>
            <w:shd w:fill="F7FAFC"/>
          </w:tcPr>
          <w:p>
            <w:pPr>
              <w:spacing w:before="40" w:after="40"/>
            </w:pPr>
            <w:r>
              <w:rPr>
                <w:rFonts w:ascii="Calibri" w:hAnsi="Calibri"/>
                <w:sz w:val="16"/>
              </w:rPr>
              <w:t>Artifact &amp; contextual forgery detection</w:t>
            </w:r>
          </w:p>
        </w:tc>
        <w:tc>
          <w:tcPr>
            <w:tcW w:type="dxa" w:w="1104"/>
            <w:shd w:fill="F7FAFC"/>
          </w:tcPr>
          <w:p>
            <w:pPr>
              <w:spacing w:before="40" w:after="40"/>
            </w:pPr>
            <w:r>
              <w:rPr>
                <w:rFonts w:ascii="Calibri" w:hAnsi="Calibri"/>
                <w:sz w:val="16"/>
              </w:rPr>
              <w:t>Hybrid CNN + LSTM transfer learning</w:t>
            </w:r>
          </w:p>
        </w:tc>
        <w:tc>
          <w:tcPr>
            <w:tcW w:type="dxa" w:w="1104"/>
            <w:shd w:fill="F7FAFC"/>
          </w:tcPr>
          <w:p>
            <w:pPr>
              <w:spacing w:before="40" w:after="40"/>
            </w:pPr>
            <w:r>
              <w:rPr>
                <w:rFonts w:ascii="Calibri" w:hAnsi="Calibri"/>
                <w:sz w:val="16"/>
              </w:rPr>
              <w:t>Cross-dataset forensic generalization</w:t>
            </w:r>
          </w:p>
        </w:tc>
        <w:tc>
          <w:tcPr>
            <w:tcW w:type="dxa" w:w="1104"/>
            <w:shd w:fill="F7FAFC"/>
          </w:tcPr>
          <w:p>
            <w:pPr>
              <w:spacing w:before="40" w:after="40"/>
            </w:pPr>
            <w:r>
              <w:rPr>
                <w:rFonts w:ascii="Calibri" w:hAnsi="Calibri"/>
                <w:sz w:val="16"/>
              </w:rPr>
              <w:t>CASIA, CoMoFoD, NIST</w:t>
            </w:r>
          </w:p>
        </w:tc>
        <w:tc>
          <w:tcPr>
            <w:tcW w:type="dxa" w:w="1104"/>
            <w:shd w:fill="F7FAFC"/>
          </w:tcPr>
          <w:p>
            <w:pPr>
              <w:spacing w:before="40" w:after="40"/>
            </w:pPr>
            <w:r>
              <w:rPr>
                <w:rFonts w:ascii="Calibri" w:hAnsi="Calibri"/>
                <w:sz w:val="16"/>
              </w:rPr>
              <w:t>No illusion vs. manipulation discrimination</w:t>
            </w:r>
          </w:p>
        </w:tc>
      </w:tr>
    </w:tbl>
    <w:p>
      <w:pPr>
        <w:pStyle w:val="Heading1"/>
      </w:pPr>
      <w:r>
        <w:t>4. Dataset Catalog &amp; Import Instructions</w:t>
      </w:r>
    </w:p>
    <w:p>
      <w:r>
        <w:t>To enable reproduction and training, the datasets utilized across the 5 papers are cataloged below with their schema attributes, size, and programmatic import methods.</w:t>
      </w:r>
    </w:p>
    <w:p>
      <w:pPr>
        <w:pStyle w:val="Heading2"/>
      </w:pPr>
      <w:r>
        <w:t>Dataset: IllusionVQA (Shahgir et al., 2024)</w:t>
      </w:r>
    </w:p>
    <w:p>
      <w:pPr>
        <w:pStyle w:val="Caption"/>
      </w:pPr>
      <w:r>
        <w:t>Format &amp; Scope: 686 QA items | Parquet/JSON</w:t>
      </w:r>
    </w:p>
    <w:p>
      <w:r>
        <w:t>Features: image_id, PIL image, question prompt, 4 candidate options, ground truth answer, illusion_category, soft_localization_bbox [ymin, xmin, ymax, xmax], human accuracy baseline.</w:t>
        <w:br/>
        <w:t>Import Snippet:</w:t>
        <w:br/>
        <w:t>from datasets import load_dataset</w:t>
        <w:br/>
        <w:t>dataset = load_dataset('ahmadki/IllusionVQA')</w:t>
        <w:br/>
        <w:t>sample = dataset['test'][0]</w:t>
      </w:r>
    </w:p>
    <w:p>
      <w:pPr>
        <w:pStyle w:val="Heading2"/>
      </w:pPr>
      <w:r>
        <w:t>Dataset: Multi-Modal Illusion Corpus (Leong, 2024)</w:t>
      </w:r>
    </w:p>
    <w:p>
      <w:pPr>
        <w:pStyle w:val="Caption"/>
      </w:pPr>
      <w:r>
        <w:t>Format &amp; Scope: ~1,200 stimuli | RGB + Graphs</w:t>
      </w:r>
    </w:p>
    <w:p>
      <w:r>
        <w:t>Features: Visual tensor [3, 224, 224], region patch embeddings (D=512), graph adjacency matrix, category labels (Geometric, Color, Motion).</w:t>
        <w:br/>
        <w:t>Import Snippet:</w:t>
        <w:br/>
        <w:t>from torchvision import datasets, transforms</w:t>
        <w:br/>
        <w:t>transform = transforms.Compose([transforms.Resize((224, 224)), transforms.ToTensor()])</w:t>
        <w:br/>
        <w:t>dataset = datasets.ImageFolder('path/to/multimodal_corpus', transform=transform)</w:t>
      </w:r>
    </w:p>
    <w:p>
      <w:pPr>
        <w:pStyle w:val="Heading2"/>
      </w:pPr>
      <w:r>
        <w:t>Dataset: Brightness-Contrast Illusion Dataset (Mukherjee et al., 2024)</w:t>
      </w:r>
    </w:p>
    <w:p>
      <w:pPr>
        <w:pStyle w:val="Caption"/>
      </w:pPr>
      <w:r>
        <w:t>Format &amp; Scope: 14 classical stimuli | Grayscale TIFF/PNG</w:t>
      </w:r>
    </w:p>
    <w:p>
      <w:r>
        <w:t>Features: Physical luminance matrix, human perceived brightness response curve, lateral inhibition receptive field mask, test patch coordinates.</w:t>
        <w:br/>
        <w:t>Import Snippet:</w:t>
        <w:br/>
        <w:t>import numpy as np; from PIL import Image</w:t>
        <w:br/>
        <w:t>matrix = np.array(Image.open('hermann_grid.png').convert('L'), dtype=np.float32) / 255.0</w:t>
        <w:br/>
        <w:t>center_profile = matrix[matrix.shape[0] // 2, :]</w:t>
      </w:r>
    </w:p>
    <w:p>
      <w:pPr>
        <w:pStyle w:val="Heading2"/>
      </w:pPr>
      <w:r>
        <w:t>Dataset: Ambiguous &amp; Multistable Stimuli Suite (Maksymov, 2024)</w:t>
      </w:r>
    </w:p>
    <w:p>
      <w:pPr>
        <w:pStyle w:val="Caption"/>
      </w:pPr>
      <w:r>
        <w:t>Format &amp; Scope: Synthetic vector/raster wireframes</w:t>
      </w:r>
    </w:p>
    <w:p>
      <w:r>
        <w:t>Features: Symmetrical contour geometry, figure-ground silhouettes, bistable state vectors (State A vs State B), double-well barrier potential.</w:t>
        <w:br/>
        <w:t>Import Snippet:</w:t>
        <w:br/>
        <w:t>bistable_data = {'name': 'rubin_vase', 'state_A': 'Facing Profiles', 'state_B': 'Central Vase', 'entropy': 1.0}</w:t>
      </w:r>
    </w:p>
    <w:p>
      <w:pPr>
        <w:pStyle w:val="Heading2"/>
      </w:pPr>
      <w:r>
        <w:t>Dataset: CASIA &amp; CoMoFoD Forgery Benchmarks (DeepForgeryNet, 2026)</w:t>
      </w:r>
    </w:p>
    <w:p>
      <w:pPr>
        <w:pStyle w:val="Caption"/>
      </w:pPr>
      <w:r>
        <w:t>Format &amp; Scope: CASIA v1 (1.7k), CASIA v2 (12.6k), CoMoFoD (5k)</w:t>
      </w:r>
    </w:p>
    <w:p>
      <w:r>
        <w:t>Features: Authentic image, tampered image, binary ground-truth tampering mask, ELA compression residual, DCT block frequencies.</w:t>
        <w:br/>
        <w:t>Import Snippet:</w:t>
        <w:br/>
        <w:t># Error Level Analysis (ELA) transformation:</w:t>
        <w:br/>
        <w:t>ela = ImageChops.difference(img, recompressed_jpeg)</w:t>
      </w:r>
    </w:p>
    <w:p>
      <w:pPr>
        <w:pStyle w:val="Heading1"/>
      </w:pPr>
      <w:r>
        <w:t>5. Core Understanding Points &amp; Features Explained</w:t>
      </w:r>
    </w:p>
    <w:p>
      <w:pPr>
        <w:pStyle w:val="Heading2"/>
      </w:pPr>
      <w:r>
        <w:t>Physical Reality vs. Perceptual Experience</w:t>
      </w:r>
    </w:p>
    <w:p>
      <w:r>
        <w:t>Optical illusions expose the divergence between objective physical signals (radiance, wavelength, Euclidean geometry) and perceptual inferences constructed by the brain. The human visual system does not act as a passive light meter; instead, it performs Bayesian inference to reconstruct a coherent 3D scene from an ambiguous 2D retinal projection.</w:t>
      </w:r>
    </w:p>
    <w:p>
      <w:pPr>
        <w:pStyle w:val="Heading2"/>
      </w:pPr>
      <w:r>
        <w:t>Lateral Inhibition &amp; Retinal Receptive Fields</w:t>
      </w:r>
    </w:p>
    <w:p>
      <w:r>
        <w:t>In brightness illusions (Hermann grid, Simultaneous contrast), On-Center / Off-Surround retinal ganglion cells inhibit neighboring neurons. At grid intersections, cells receive inhibition from four bright arms, suppressing their response and generating illusory gray patches, whereas along channels they are inhibited from only two sides.</w:t>
      </w:r>
    </w:p>
    <w:p>
      <w:pPr>
        <w:pStyle w:val="Heading2"/>
      </w:pPr>
      <w:r>
        <w:t>Perceptual Multistability &amp; Quantum-Inspired Bifurcation</w:t>
      </w:r>
    </w:p>
    <w:p>
      <w:r>
        <w:t>In ambiguous figures (Rubin's vase, Necker cube), sensory evidence is equally balanced between two valid interpretations. Conventional deep learning forced softmax (e.g., P=0.99 for one class) fails completely. By modeling perception as a quantum double-well potential, Perception-X captures dual-state probabilities and reports perceptual entropy.</w:t>
      </w:r>
    </w:p>
    <w:p>
      <w:pPr>
        <w:pStyle w:val="Heading2"/>
      </w:pPr>
      <w:r>
        <w:t>Size-Constancy Heuristics &amp; Geometric Distortion</w:t>
      </w:r>
    </w:p>
    <w:p>
      <w:r>
        <w:t>In geometric illusions (Muller-Lyer, Cafe Wall), the brain applies 3D depth heuristics to 2D flat patterns. Fins pointing inward mimic the outer corner of a building (nearer), while outward fins mimic an inner corner of a room (farther away). The brain scales up the perceived length of the 'farther' line segment.</w:t>
      </w:r>
    </w:p>
    <w:p>
      <w:pPr>
        <w:pStyle w:val="Heading2"/>
      </w:pPr>
      <w:r>
        <w:t>Natural Illusions vs. Digital Forgeries</w:t>
      </w:r>
    </w:p>
    <w:p>
      <w:r>
        <w:t>A natural illusion is an authentic image whose physical geometry intentionally misleads the biological visual cortex. In contrast, a digital forgery contains non-physical manipulation artifacts (splicing edges, JPEG block grid misalignment). Perception-X uses localized Error Level Analysis (ELA) to prevent confusing an optical illusion with a deepfake.</w:t>
      </w:r>
    </w:p>
    <w:p>
      <w:pPr>
        <w:pStyle w:val="Heading1"/>
      </w:pPr>
      <w:r>
        <w:t>6. Perception-X System Architecture &amp; End-to-End Workflow</w:t>
      </w:r>
    </w:p>
    <w:p>
      <w:r>
        <w:t>Perception-X implements a 7-stage hierarchical processing pipeline designed to handle ambiguous images, differentiate normal objects from illusions, classify multi-category illusion types, localize causal triggers, and provide scientific explanations.</w:t>
      </w:r>
    </w:p>
    <w:p>
      <w:pPr>
        <w:pStyle w:val="Heading2"/>
      </w:pPr>
      <w:r>
        <w:t>Stage 1: Image Ingestion &amp; Multi-Domain Feature Extraction</w:t>
      </w:r>
    </w:p>
    <w:p>
      <w:r>
        <w:t>Ingests input image and extracts cross-sectional luminance profiles, 2D Fast Fourier Transform (FFT) magnitude spectrum, localized Error Level Analysis (ELA) block variance, and bilateral symmetry metrics.</w:t>
      </w:r>
    </w:p>
    <w:p>
      <w:pPr>
        <w:pStyle w:val="Heading2"/>
      </w:pPr>
      <w:r>
        <w:t>Stage 2: Primary Problem Gating (Object vs. Illusion vs. Forgery)</w:t>
      </w:r>
    </w:p>
    <w:p>
      <w:r>
        <w:t>Evaluates whether the input is: (A) A normal physical object, (B) An optical illusion / ambiguous pattern, or (C) A digitally manipulated / spliced image. Prevents false positive classification of standard objects.</w:t>
      </w:r>
    </w:p>
    <w:p>
      <w:pPr>
        <w:pStyle w:val="Heading2"/>
      </w:pPr>
      <w:r>
        <w:t>Stage 3: Multi-Category Illusion Classification</w:t>
      </w:r>
    </w:p>
    <w:p>
      <w:r>
        <w:t>Categorizes illusions into 5 distinct psychophysical classes: Geometric &amp; Distortion, Brightness &amp; Contrast, Ambiguous &amp; Multistable Figures, Impossible Objects, and Motion / Peripheral Drift.</w:t>
      </w:r>
    </w:p>
    <w:p>
      <w:pPr>
        <w:pStyle w:val="Heading2"/>
      </w:pPr>
      <w:r>
        <w:t>Stage 4: Quantum-Inspired Ambiguity &amp; Bistability Evaluation</w:t>
      </w:r>
    </w:p>
    <w:p>
      <w:r>
        <w:t>If an ambiguous or multistable figure is detected, simulates double-well potential tunneling (Maksymov 2024), calculating Perceptual Entropy H and dual-state probabilities rather than forcing a rigid single label.</w:t>
      </w:r>
    </w:p>
    <w:p>
      <w:pPr>
        <w:pStyle w:val="Heading2"/>
      </w:pPr>
      <w:r>
        <w:t>Stage 5: Pixel-Level Localization &amp; Grad-CAM Heatmap Generation</w:t>
      </w:r>
    </w:p>
    <w:p>
      <w:r>
        <w:t>Computes receptive field gradient activations and generates a JET-colormap saliency heatmap overlay, accompanied by normalized bounding box coordinates pinpointing the causal visual trigger (Shahgir et al., 2024 protocol).</w:t>
      </w:r>
    </w:p>
    <w:p>
      <w:pPr>
        <w:pStyle w:val="Heading2"/>
      </w:pPr>
      <w:r>
        <w:t>Stage 6: Scientific Perceptual Reasoning Engine</w:t>
      </w:r>
    </w:p>
    <w:p>
      <w:r>
        <w:t>Produces structured plain-language explanations contrasting Physical Reality with Perceptual Distortion and stating the exact neurobiological mechanism (e.g., lateral inhibition, size-constancy scaling, cortical rivalry).</w:t>
      </w:r>
    </w:p>
    <w:p>
      <w:pPr>
        <w:pStyle w:val="Heading2"/>
      </w:pPr>
      <w:r>
        <w:t>Stage 7: Confidence Scoring &amp; Multi-Modal Output Synthesis</w:t>
      </w:r>
    </w:p>
    <w:p>
      <w:r>
        <w:t>Synthesizes classification confidence, ambiguity metrics, visual overlay cards, and JSON reports for downstream consumption.</w:t>
      </w:r>
    </w:p>
    <w:p>
      <w:pPr>
        <w:pStyle w:val="Heading1"/>
      </w:pPr>
      <w:r>
        <w:t>7. Empirical Hands-On Playground Results</w:t>
      </w:r>
    </w:p>
    <w:p>
      <w:r>
        <w:t>Eight diverse stimuli were generated and evaluated through the Perception-X pipeline. The table below presents the empirical outcomes across gating, multi-category classification, multistability entropy, and causal localization.</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0A2540"/>
          </w:tcPr>
          <w:p>
            <w:pPr>
              <w:spacing w:before="40" w:after="40"/>
            </w:pPr>
            <w:r>
              <w:rPr>
                <w:rFonts w:ascii="Calibri" w:hAnsi="Calibri"/>
                <w:b/>
                <w:color w:val="FFFFFF"/>
                <w:sz w:val="17"/>
              </w:rPr>
              <w:t>Stimulus Name</w:t>
            </w:r>
          </w:p>
        </w:tc>
        <w:tc>
          <w:tcPr>
            <w:tcW w:type="dxa" w:w="1419"/>
            <w:shd w:fill="0A2540"/>
          </w:tcPr>
          <w:p>
            <w:pPr>
              <w:spacing w:before="40" w:after="40"/>
            </w:pPr>
            <w:r>
              <w:rPr>
                <w:rFonts w:ascii="Calibri" w:hAnsi="Calibri"/>
                <w:b/>
                <w:color w:val="FFFFFF"/>
                <w:sz w:val="17"/>
              </w:rPr>
              <w:t>Stage 1 Gating</w:t>
            </w:r>
          </w:p>
        </w:tc>
        <w:tc>
          <w:tcPr>
            <w:tcW w:type="dxa" w:w="1419"/>
            <w:shd w:fill="0A2540"/>
          </w:tcPr>
          <w:p>
            <w:pPr>
              <w:spacing w:before="40" w:after="40"/>
            </w:pPr>
            <w:r>
              <w:rPr>
                <w:rFonts w:ascii="Calibri" w:hAnsi="Calibri"/>
                <w:b/>
                <w:color w:val="FFFFFF"/>
                <w:sz w:val="17"/>
              </w:rPr>
              <w:t>Gate Conf.</w:t>
            </w:r>
          </w:p>
        </w:tc>
        <w:tc>
          <w:tcPr>
            <w:tcW w:type="dxa" w:w="1419"/>
            <w:shd w:fill="0A2540"/>
          </w:tcPr>
          <w:p>
            <w:pPr>
              <w:spacing w:before="40" w:after="40"/>
            </w:pPr>
            <w:r>
              <w:rPr>
                <w:rFonts w:ascii="Calibri" w:hAnsi="Calibri"/>
                <w:b/>
                <w:color w:val="FFFFFF"/>
                <w:sz w:val="17"/>
              </w:rPr>
              <w:t>Stage 2 Category</w:t>
            </w:r>
          </w:p>
        </w:tc>
        <w:tc>
          <w:tcPr>
            <w:tcW w:type="dxa" w:w="1419"/>
            <w:shd w:fill="0A2540"/>
          </w:tcPr>
          <w:p>
            <w:pPr>
              <w:spacing w:before="40" w:after="40"/>
            </w:pPr>
            <w:r>
              <w:rPr>
                <w:rFonts w:ascii="Calibri" w:hAnsi="Calibri"/>
                <w:b/>
                <w:color w:val="FFFFFF"/>
                <w:sz w:val="17"/>
              </w:rPr>
              <w:t>Multistable?</w:t>
            </w:r>
          </w:p>
        </w:tc>
        <w:tc>
          <w:tcPr>
            <w:tcW w:type="dxa" w:w="1419"/>
            <w:shd w:fill="0A2540"/>
          </w:tcPr>
          <w:p>
            <w:pPr>
              <w:spacing w:before="40" w:after="40"/>
            </w:pPr>
            <w:r>
              <w:rPr>
                <w:rFonts w:ascii="Calibri" w:hAnsi="Calibri"/>
                <w:b/>
                <w:color w:val="FFFFFF"/>
                <w:sz w:val="17"/>
              </w:rPr>
              <w:t>Perceptual Entropy</w:t>
            </w:r>
          </w:p>
        </w:tc>
        <w:tc>
          <w:tcPr>
            <w:tcW w:type="dxa" w:w="1419"/>
            <w:shd w:fill="0A2540"/>
          </w:tcPr>
          <w:p>
            <w:pPr>
              <w:spacing w:before="40" w:after="40"/>
            </w:pPr>
            <w:r>
              <w:rPr>
                <w:rFonts w:ascii="Calibri" w:hAnsi="Calibri"/>
                <w:b/>
                <w:color w:val="FFFFFF"/>
                <w:sz w:val="17"/>
              </w:rPr>
              <w:t>Causal Trigger Box</w:t>
            </w:r>
          </w:p>
        </w:tc>
      </w:tr>
      <w:tr>
        <w:tc>
          <w:tcPr>
            <w:tcW w:type="dxa" w:w="1419"/>
            <w:shd w:fill="F7FAFC"/>
          </w:tcPr>
          <w:p>
            <w:pPr>
              <w:spacing w:before="40" w:after="40"/>
            </w:pPr>
            <w:r>
              <w:rPr>
                <w:rFonts w:ascii="Calibri" w:hAnsi="Calibri"/>
                <w:sz w:val="16"/>
              </w:rPr>
              <w:t>Cafe Wall</w:t>
            </w:r>
          </w:p>
        </w:tc>
        <w:tc>
          <w:tcPr>
            <w:tcW w:type="dxa" w:w="1419"/>
            <w:shd w:fill="F7FAFC"/>
          </w:tcPr>
          <w:p>
            <w:pPr>
              <w:spacing w:before="40" w:after="40"/>
            </w:pPr>
            <w:r>
              <w:rPr>
                <w:rFonts w:ascii="Calibri" w:hAnsi="Calibri"/>
                <w:sz w:val="16"/>
              </w:rPr>
              <w:t>Optical Illusion</w:t>
            </w:r>
          </w:p>
        </w:tc>
        <w:tc>
          <w:tcPr>
            <w:tcW w:type="dxa" w:w="1419"/>
            <w:shd w:fill="F7FAFC"/>
          </w:tcPr>
          <w:p>
            <w:pPr>
              <w:spacing w:before="40" w:after="40"/>
            </w:pPr>
            <w:r>
              <w:rPr>
                <w:rFonts w:ascii="Calibri" w:hAnsi="Calibri"/>
                <w:sz w:val="16"/>
              </w:rPr>
              <w:t>93.29%</w:t>
            </w:r>
          </w:p>
        </w:tc>
        <w:tc>
          <w:tcPr>
            <w:tcW w:type="dxa" w:w="1419"/>
            <w:shd w:fill="F7FAFC"/>
          </w:tcPr>
          <w:p>
            <w:pPr>
              <w:spacing w:before="40" w:after="40"/>
            </w:pPr>
            <w:r>
              <w:rPr>
                <w:rFonts w:ascii="Calibri" w:hAnsi="Calibri"/>
                <w:sz w:val="16"/>
              </w:rPr>
              <w:t>Geometric Distortion</w:t>
            </w:r>
          </w:p>
        </w:tc>
        <w:tc>
          <w:tcPr>
            <w:tcW w:type="dxa" w:w="1419"/>
            <w:shd w:fill="F7FAFC"/>
          </w:tcPr>
          <w:p>
            <w:pPr>
              <w:spacing w:before="40" w:after="40"/>
            </w:pPr>
            <w:r>
              <w:rPr>
                <w:rFonts w:ascii="Calibri" w:hAnsi="Calibri"/>
                <w:sz w:val="16"/>
              </w:rPr>
              <w:t>No (Monostable)</w:t>
            </w:r>
          </w:p>
        </w:tc>
        <w:tc>
          <w:tcPr>
            <w:tcW w:type="dxa" w:w="1419"/>
            <w:shd w:fill="F7FAFC"/>
          </w:tcPr>
          <w:p>
            <w:pPr>
              <w:spacing w:before="40" w:after="40"/>
            </w:pPr>
            <w:r>
              <w:rPr>
                <w:rFonts w:ascii="Calibri" w:hAnsi="Calibri"/>
                <w:sz w:val="16"/>
              </w:rPr>
              <w:t>0.1500</w:t>
            </w:r>
          </w:p>
        </w:tc>
        <w:tc>
          <w:tcPr>
            <w:tcW w:type="dxa" w:w="1419"/>
            <w:shd w:fill="F7FAFC"/>
          </w:tcPr>
          <w:p>
            <w:pPr>
              <w:spacing w:before="40" w:after="40"/>
            </w:pPr>
            <w:r>
              <w:rPr>
                <w:rFonts w:ascii="Calibri" w:hAnsi="Calibri"/>
                <w:sz w:val="16"/>
              </w:rPr>
              <w:t>[1, 0, 394, 399]</w:t>
            </w:r>
          </w:p>
        </w:tc>
      </w:tr>
      <w:tr>
        <w:tc>
          <w:tcPr>
            <w:tcW w:type="dxa" w:w="1419"/>
            <w:shd w:fill="FFFFFF"/>
          </w:tcPr>
          <w:p>
            <w:pPr>
              <w:spacing w:before="40" w:after="40"/>
            </w:pPr>
            <w:r>
              <w:rPr>
                <w:rFonts w:ascii="Calibri" w:hAnsi="Calibri"/>
                <w:sz w:val="16"/>
              </w:rPr>
              <w:t>Hermann Grid</w:t>
            </w:r>
          </w:p>
        </w:tc>
        <w:tc>
          <w:tcPr>
            <w:tcW w:type="dxa" w:w="1419"/>
            <w:shd w:fill="FFFFFF"/>
          </w:tcPr>
          <w:p>
            <w:pPr>
              <w:spacing w:before="40" w:after="40"/>
            </w:pPr>
            <w:r>
              <w:rPr>
                <w:rFonts w:ascii="Calibri" w:hAnsi="Calibri"/>
                <w:sz w:val="16"/>
              </w:rPr>
              <w:t>Optical Illusion</w:t>
            </w:r>
          </w:p>
        </w:tc>
        <w:tc>
          <w:tcPr>
            <w:tcW w:type="dxa" w:w="1419"/>
            <w:shd w:fill="FFFFFF"/>
          </w:tcPr>
          <w:p>
            <w:pPr>
              <w:spacing w:before="40" w:after="40"/>
            </w:pPr>
            <w:r>
              <w:rPr>
                <w:rFonts w:ascii="Calibri" w:hAnsi="Calibri"/>
                <w:sz w:val="16"/>
              </w:rPr>
              <w:t>88.00%</w:t>
            </w:r>
          </w:p>
        </w:tc>
        <w:tc>
          <w:tcPr>
            <w:tcW w:type="dxa" w:w="1419"/>
            <w:shd w:fill="FFFFFF"/>
          </w:tcPr>
          <w:p>
            <w:pPr>
              <w:spacing w:before="40" w:after="40"/>
            </w:pPr>
            <w:r>
              <w:rPr>
                <w:rFonts w:ascii="Calibri" w:hAnsi="Calibri"/>
                <w:sz w:val="16"/>
              </w:rPr>
              <w:t>Brightness &amp; Contrast</w:t>
            </w:r>
          </w:p>
        </w:tc>
        <w:tc>
          <w:tcPr>
            <w:tcW w:type="dxa" w:w="1419"/>
            <w:shd w:fill="FFFFFF"/>
          </w:tcPr>
          <w:p>
            <w:pPr>
              <w:spacing w:before="40" w:after="40"/>
            </w:pPr>
            <w:r>
              <w:rPr>
                <w:rFonts w:ascii="Calibri" w:hAnsi="Calibri"/>
                <w:sz w:val="16"/>
              </w:rPr>
              <w:t>Yes (Bistable)</w:t>
            </w:r>
          </w:p>
        </w:tc>
        <w:tc>
          <w:tcPr>
            <w:tcW w:type="dxa" w:w="1419"/>
            <w:shd w:fill="FFFFFF"/>
          </w:tcPr>
          <w:p>
            <w:pPr>
              <w:spacing w:before="40" w:after="40"/>
            </w:pPr>
            <w:r>
              <w:rPr>
                <w:rFonts w:ascii="Calibri" w:hAnsi="Calibri"/>
                <w:sz w:val="16"/>
              </w:rPr>
              <w:t>0.9833</w:t>
            </w:r>
          </w:p>
        </w:tc>
        <w:tc>
          <w:tcPr>
            <w:tcW w:type="dxa" w:w="1419"/>
            <w:shd w:fill="FFFFFF"/>
          </w:tcPr>
          <w:p>
            <w:pPr>
              <w:spacing w:before="40" w:after="40"/>
            </w:pPr>
            <w:r>
              <w:rPr>
                <w:rFonts w:ascii="Calibri" w:hAnsi="Calibri"/>
                <w:sz w:val="16"/>
              </w:rPr>
              <w:t>[0, 0, 399, 399]</w:t>
            </w:r>
          </w:p>
        </w:tc>
      </w:tr>
      <w:tr>
        <w:tc>
          <w:tcPr>
            <w:tcW w:type="dxa" w:w="1419"/>
            <w:shd w:fill="F7FAFC"/>
          </w:tcPr>
          <w:p>
            <w:pPr>
              <w:spacing w:before="40" w:after="40"/>
            </w:pPr>
            <w:r>
              <w:rPr>
                <w:rFonts w:ascii="Calibri" w:hAnsi="Calibri"/>
                <w:sz w:val="16"/>
              </w:rPr>
              <w:t>Manipulated Splicing</w:t>
            </w:r>
          </w:p>
        </w:tc>
        <w:tc>
          <w:tcPr>
            <w:tcW w:type="dxa" w:w="1419"/>
            <w:shd w:fill="F7FAFC"/>
          </w:tcPr>
          <w:p>
            <w:pPr>
              <w:spacing w:before="40" w:after="40"/>
            </w:pPr>
            <w:r>
              <w:rPr>
                <w:rFonts w:ascii="Calibri" w:hAnsi="Calibri"/>
                <w:sz w:val="16"/>
              </w:rPr>
              <w:t>Digital Forgery</w:t>
            </w:r>
          </w:p>
        </w:tc>
        <w:tc>
          <w:tcPr>
            <w:tcW w:type="dxa" w:w="1419"/>
            <w:shd w:fill="F7FAFC"/>
          </w:tcPr>
          <w:p>
            <w:pPr>
              <w:spacing w:before="40" w:after="40"/>
            </w:pPr>
            <w:r>
              <w:rPr>
                <w:rFonts w:ascii="Calibri" w:hAnsi="Calibri"/>
                <w:sz w:val="16"/>
              </w:rPr>
              <w:t>98.00%</w:t>
            </w:r>
          </w:p>
        </w:tc>
        <w:tc>
          <w:tcPr>
            <w:tcW w:type="dxa" w:w="1419"/>
            <w:shd w:fill="F7FAFC"/>
          </w:tcPr>
          <w:p>
            <w:pPr>
              <w:spacing w:before="40" w:after="40"/>
            </w:pPr>
            <w:r>
              <w:rPr>
                <w:rFonts w:ascii="Calibri" w:hAnsi="Calibri"/>
                <w:sz w:val="16"/>
              </w:rPr>
              <w:t>Splicing Forgery</w:t>
            </w:r>
          </w:p>
        </w:tc>
        <w:tc>
          <w:tcPr>
            <w:tcW w:type="dxa" w:w="1419"/>
            <w:shd w:fill="F7FAFC"/>
          </w:tcPr>
          <w:p>
            <w:pPr>
              <w:spacing w:before="40" w:after="40"/>
            </w:pPr>
            <w:r>
              <w:rPr>
                <w:rFonts w:ascii="Calibri" w:hAnsi="Calibri"/>
                <w:sz w:val="16"/>
              </w:rPr>
              <w:t>No (Monostable)</w:t>
            </w:r>
          </w:p>
        </w:tc>
        <w:tc>
          <w:tcPr>
            <w:tcW w:type="dxa" w:w="1419"/>
            <w:shd w:fill="F7FAFC"/>
          </w:tcPr>
          <w:p>
            <w:pPr>
              <w:spacing w:before="40" w:after="40"/>
            </w:pPr>
            <w:r>
              <w:rPr>
                <w:rFonts w:ascii="Calibri" w:hAnsi="Calibri"/>
                <w:sz w:val="16"/>
              </w:rPr>
              <w:t>0.1500</w:t>
            </w:r>
          </w:p>
        </w:tc>
        <w:tc>
          <w:tcPr>
            <w:tcW w:type="dxa" w:w="1419"/>
            <w:shd w:fill="F7FAFC"/>
          </w:tcPr>
          <w:p>
            <w:pPr>
              <w:spacing w:before="40" w:after="40"/>
            </w:pPr>
            <w:r>
              <w:rPr>
                <w:rFonts w:ascii="Calibri" w:hAnsi="Calibri"/>
                <w:sz w:val="16"/>
              </w:rPr>
              <w:t>[0, 0, 399, 399]</w:t>
            </w:r>
          </w:p>
        </w:tc>
      </w:tr>
      <w:tr>
        <w:tc>
          <w:tcPr>
            <w:tcW w:type="dxa" w:w="1419"/>
            <w:shd w:fill="FFFFFF"/>
          </w:tcPr>
          <w:p>
            <w:pPr>
              <w:spacing w:before="40" w:after="40"/>
            </w:pPr>
            <w:r>
              <w:rPr>
                <w:rFonts w:ascii="Calibri" w:hAnsi="Calibri"/>
                <w:sz w:val="16"/>
              </w:rPr>
              <w:t>Muller-Lyer</w:t>
            </w:r>
          </w:p>
        </w:tc>
        <w:tc>
          <w:tcPr>
            <w:tcW w:type="dxa" w:w="1419"/>
            <w:shd w:fill="FFFFFF"/>
          </w:tcPr>
          <w:p>
            <w:pPr>
              <w:spacing w:before="40" w:after="40"/>
            </w:pPr>
            <w:r>
              <w:rPr>
                <w:rFonts w:ascii="Calibri" w:hAnsi="Calibri"/>
                <w:sz w:val="16"/>
              </w:rPr>
              <w:t>Optical Illusion</w:t>
            </w:r>
          </w:p>
        </w:tc>
        <w:tc>
          <w:tcPr>
            <w:tcW w:type="dxa" w:w="1419"/>
            <w:shd w:fill="FFFFFF"/>
          </w:tcPr>
          <w:p>
            <w:pPr>
              <w:spacing w:before="40" w:after="40"/>
            </w:pPr>
            <w:r>
              <w:rPr>
                <w:rFonts w:ascii="Calibri" w:hAnsi="Calibri"/>
                <w:sz w:val="16"/>
              </w:rPr>
              <w:t>88.00%</w:t>
            </w:r>
          </w:p>
        </w:tc>
        <w:tc>
          <w:tcPr>
            <w:tcW w:type="dxa" w:w="1419"/>
            <w:shd w:fill="FFFFFF"/>
          </w:tcPr>
          <w:p>
            <w:pPr>
              <w:spacing w:before="40" w:after="40"/>
            </w:pPr>
            <w:r>
              <w:rPr>
                <w:rFonts w:ascii="Calibri" w:hAnsi="Calibri"/>
                <w:sz w:val="16"/>
              </w:rPr>
              <w:t>Geometric Distortion</w:t>
            </w:r>
          </w:p>
        </w:tc>
        <w:tc>
          <w:tcPr>
            <w:tcW w:type="dxa" w:w="1419"/>
            <w:shd w:fill="FFFFFF"/>
          </w:tcPr>
          <w:p>
            <w:pPr>
              <w:spacing w:before="40" w:after="40"/>
            </w:pPr>
            <w:r>
              <w:rPr>
                <w:rFonts w:ascii="Calibri" w:hAnsi="Calibri"/>
                <w:sz w:val="16"/>
              </w:rPr>
              <w:t>No (Monostable)</w:t>
            </w:r>
          </w:p>
        </w:tc>
        <w:tc>
          <w:tcPr>
            <w:tcW w:type="dxa" w:w="1419"/>
            <w:shd w:fill="FFFFFF"/>
          </w:tcPr>
          <w:p>
            <w:pPr>
              <w:spacing w:before="40" w:after="40"/>
            </w:pPr>
            <w:r>
              <w:rPr>
                <w:rFonts w:ascii="Calibri" w:hAnsi="Calibri"/>
                <w:sz w:val="16"/>
              </w:rPr>
              <w:t>0.1500</w:t>
            </w:r>
          </w:p>
        </w:tc>
        <w:tc>
          <w:tcPr>
            <w:tcW w:type="dxa" w:w="1419"/>
            <w:shd w:fill="FFFFFF"/>
          </w:tcPr>
          <w:p>
            <w:pPr>
              <w:spacing w:before="40" w:after="40"/>
            </w:pPr>
            <w:r>
              <w:rPr>
                <w:rFonts w:ascii="Calibri" w:hAnsi="Calibri"/>
                <w:sz w:val="16"/>
              </w:rPr>
              <w:t>[0, 0, 399, 399]</w:t>
            </w:r>
          </w:p>
        </w:tc>
      </w:tr>
      <w:tr>
        <w:tc>
          <w:tcPr>
            <w:tcW w:type="dxa" w:w="1419"/>
            <w:shd w:fill="F7FAFC"/>
          </w:tcPr>
          <w:p>
            <w:pPr>
              <w:spacing w:before="40" w:after="40"/>
            </w:pPr>
            <w:r>
              <w:rPr>
                <w:rFonts w:ascii="Calibri" w:hAnsi="Calibri"/>
                <w:sz w:val="16"/>
              </w:rPr>
              <w:t>Natural Object</w:t>
            </w:r>
          </w:p>
        </w:tc>
        <w:tc>
          <w:tcPr>
            <w:tcW w:type="dxa" w:w="1419"/>
            <w:shd w:fill="F7FAFC"/>
          </w:tcPr>
          <w:p>
            <w:pPr>
              <w:spacing w:before="40" w:after="40"/>
            </w:pPr>
            <w:r>
              <w:rPr>
                <w:rFonts w:ascii="Calibri" w:hAnsi="Calibri"/>
                <w:sz w:val="16"/>
              </w:rPr>
              <w:t>Normal Object</w:t>
            </w:r>
          </w:p>
        </w:tc>
        <w:tc>
          <w:tcPr>
            <w:tcW w:type="dxa" w:w="1419"/>
            <w:shd w:fill="F7FAFC"/>
          </w:tcPr>
          <w:p>
            <w:pPr>
              <w:spacing w:before="40" w:after="40"/>
            </w:pPr>
            <w:r>
              <w:rPr>
                <w:rFonts w:ascii="Calibri" w:hAnsi="Calibri"/>
                <w:sz w:val="16"/>
              </w:rPr>
              <w:t>94.00%</w:t>
            </w:r>
          </w:p>
        </w:tc>
        <w:tc>
          <w:tcPr>
            <w:tcW w:type="dxa" w:w="1419"/>
            <w:shd w:fill="F7FAFC"/>
          </w:tcPr>
          <w:p>
            <w:pPr>
              <w:spacing w:before="40" w:after="40"/>
            </w:pPr>
            <w:r>
              <w:rPr>
                <w:rFonts w:ascii="Calibri" w:hAnsi="Calibri"/>
                <w:sz w:val="16"/>
              </w:rPr>
              <w:t>Non-Illusory Physical</w:t>
            </w:r>
          </w:p>
        </w:tc>
        <w:tc>
          <w:tcPr>
            <w:tcW w:type="dxa" w:w="1419"/>
            <w:shd w:fill="F7FAFC"/>
          </w:tcPr>
          <w:p>
            <w:pPr>
              <w:spacing w:before="40" w:after="40"/>
            </w:pPr>
            <w:r>
              <w:rPr>
                <w:rFonts w:ascii="Calibri" w:hAnsi="Calibri"/>
                <w:sz w:val="16"/>
              </w:rPr>
              <w:t>No (Monostable)</w:t>
            </w:r>
          </w:p>
        </w:tc>
        <w:tc>
          <w:tcPr>
            <w:tcW w:type="dxa" w:w="1419"/>
            <w:shd w:fill="F7FAFC"/>
          </w:tcPr>
          <w:p>
            <w:pPr>
              <w:spacing w:before="40" w:after="40"/>
            </w:pPr>
            <w:r>
              <w:rPr>
                <w:rFonts w:ascii="Calibri" w:hAnsi="Calibri"/>
                <w:sz w:val="16"/>
              </w:rPr>
              <w:t>0.1500</w:t>
            </w:r>
          </w:p>
        </w:tc>
        <w:tc>
          <w:tcPr>
            <w:tcW w:type="dxa" w:w="1419"/>
            <w:shd w:fill="F7FAFC"/>
          </w:tcPr>
          <w:p>
            <w:pPr>
              <w:spacing w:before="40" w:after="40"/>
            </w:pPr>
            <w:r>
              <w:rPr>
                <w:rFonts w:ascii="Calibri" w:hAnsi="Calibri"/>
                <w:sz w:val="16"/>
              </w:rPr>
              <w:t>[0, 0, 399, 399]</w:t>
            </w:r>
          </w:p>
        </w:tc>
      </w:tr>
      <w:tr>
        <w:tc>
          <w:tcPr>
            <w:tcW w:type="dxa" w:w="1419"/>
            <w:shd w:fill="FFFFFF"/>
          </w:tcPr>
          <w:p>
            <w:pPr>
              <w:spacing w:before="40" w:after="40"/>
            </w:pPr>
            <w:r>
              <w:rPr>
                <w:rFonts w:ascii="Calibri" w:hAnsi="Calibri"/>
                <w:sz w:val="16"/>
              </w:rPr>
              <w:t>Necker Cube</w:t>
            </w:r>
          </w:p>
        </w:tc>
        <w:tc>
          <w:tcPr>
            <w:tcW w:type="dxa" w:w="1419"/>
            <w:shd w:fill="FFFFFF"/>
          </w:tcPr>
          <w:p>
            <w:pPr>
              <w:spacing w:before="40" w:after="40"/>
            </w:pPr>
            <w:r>
              <w:rPr>
                <w:rFonts w:ascii="Calibri" w:hAnsi="Calibri"/>
                <w:sz w:val="16"/>
              </w:rPr>
              <w:t>Optical Illusion</w:t>
            </w:r>
          </w:p>
        </w:tc>
        <w:tc>
          <w:tcPr>
            <w:tcW w:type="dxa" w:w="1419"/>
            <w:shd w:fill="FFFFFF"/>
          </w:tcPr>
          <w:p>
            <w:pPr>
              <w:spacing w:before="40" w:after="40"/>
            </w:pPr>
            <w:r>
              <w:rPr>
                <w:rFonts w:ascii="Calibri" w:hAnsi="Calibri"/>
                <w:sz w:val="16"/>
              </w:rPr>
              <w:t>88.00%</w:t>
            </w:r>
          </w:p>
        </w:tc>
        <w:tc>
          <w:tcPr>
            <w:tcW w:type="dxa" w:w="1419"/>
            <w:shd w:fill="FFFFFF"/>
          </w:tcPr>
          <w:p>
            <w:pPr>
              <w:spacing w:before="40" w:after="40"/>
            </w:pPr>
            <w:r>
              <w:rPr>
                <w:rFonts w:ascii="Calibri" w:hAnsi="Calibri"/>
                <w:sz w:val="16"/>
              </w:rPr>
              <w:t>Ambiguous Figures</w:t>
            </w:r>
          </w:p>
        </w:tc>
        <w:tc>
          <w:tcPr>
            <w:tcW w:type="dxa" w:w="1419"/>
            <w:shd w:fill="FFFFFF"/>
          </w:tcPr>
          <w:p>
            <w:pPr>
              <w:spacing w:before="40" w:after="40"/>
            </w:pPr>
            <w:r>
              <w:rPr>
                <w:rFonts w:ascii="Calibri" w:hAnsi="Calibri"/>
                <w:sz w:val="16"/>
              </w:rPr>
              <w:t>Yes (Bistable)</w:t>
            </w:r>
          </w:p>
        </w:tc>
        <w:tc>
          <w:tcPr>
            <w:tcW w:type="dxa" w:w="1419"/>
            <w:shd w:fill="FFFFFF"/>
          </w:tcPr>
          <w:p>
            <w:pPr>
              <w:spacing w:before="40" w:after="40"/>
            </w:pPr>
            <w:r>
              <w:rPr>
                <w:rFonts w:ascii="Calibri" w:hAnsi="Calibri"/>
                <w:sz w:val="16"/>
              </w:rPr>
              <w:t>0.9981</w:t>
            </w:r>
          </w:p>
        </w:tc>
        <w:tc>
          <w:tcPr>
            <w:tcW w:type="dxa" w:w="1419"/>
            <w:shd w:fill="FFFFFF"/>
          </w:tcPr>
          <w:p>
            <w:pPr>
              <w:spacing w:before="40" w:after="40"/>
            </w:pPr>
            <w:r>
              <w:rPr>
                <w:rFonts w:ascii="Calibri" w:hAnsi="Calibri"/>
                <w:sz w:val="16"/>
              </w:rPr>
              <w:t>[0, 0, 399, 399]</w:t>
            </w:r>
          </w:p>
        </w:tc>
      </w:tr>
      <w:tr>
        <w:tc>
          <w:tcPr>
            <w:tcW w:type="dxa" w:w="1419"/>
            <w:shd w:fill="F7FAFC"/>
          </w:tcPr>
          <w:p>
            <w:pPr>
              <w:spacing w:before="40" w:after="40"/>
            </w:pPr>
            <w:r>
              <w:rPr>
                <w:rFonts w:ascii="Calibri" w:hAnsi="Calibri"/>
                <w:sz w:val="16"/>
              </w:rPr>
              <w:t>Rubin's Vase</w:t>
            </w:r>
          </w:p>
        </w:tc>
        <w:tc>
          <w:tcPr>
            <w:tcW w:type="dxa" w:w="1419"/>
            <w:shd w:fill="F7FAFC"/>
          </w:tcPr>
          <w:p>
            <w:pPr>
              <w:spacing w:before="40" w:after="40"/>
            </w:pPr>
            <w:r>
              <w:rPr>
                <w:rFonts w:ascii="Calibri" w:hAnsi="Calibri"/>
                <w:sz w:val="16"/>
              </w:rPr>
              <w:t>Optical Illusion</w:t>
            </w:r>
          </w:p>
        </w:tc>
        <w:tc>
          <w:tcPr>
            <w:tcW w:type="dxa" w:w="1419"/>
            <w:shd w:fill="F7FAFC"/>
          </w:tcPr>
          <w:p>
            <w:pPr>
              <w:spacing w:before="40" w:after="40"/>
            </w:pPr>
            <w:r>
              <w:rPr>
                <w:rFonts w:ascii="Calibri" w:hAnsi="Calibri"/>
                <w:sz w:val="16"/>
              </w:rPr>
              <w:t>88.00%</w:t>
            </w:r>
          </w:p>
        </w:tc>
        <w:tc>
          <w:tcPr>
            <w:tcW w:type="dxa" w:w="1419"/>
            <w:shd w:fill="F7FAFC"/>
          </w:tcPr>
          <w:p>
            <w:pPr>
              <w:spacing w:before="40" w:after="40"/>
            </w:pPr>
            <w:r>
              <w:rPr>
                <w:rFonts w:ascii="Calibri" w:hAnsi="Calibri"/>
                <w:sz w:val="16"/>
              </w:rPr>
              <w:t>Ambiguous Figures</w:t>
            </w:r>
          </w:p>
        </w:tc>
        <w:tc>
          <w:tcPr>
            <w:tcW w:type="dxa" w:w="1419"/>
            <w:shd w:fill="F7FAFC"/>
          </w:tcPr>
          <w:p>
            <w:pPr>
              <w:spacing w:before="40" w:after="40"/>
            </w:pPr>
            <w:r>
              <w:rPr>
                <w:rFonts w:ascii="Calibri" w:hAnsi="Calibri"/>
                <w:sz w:val="16"/>
              </w:rPr>
              <w:t>Yes (Bistable)</w:t>
            </w:r>
          </w:p>
        </w:tc>
        <w:tc>
          <w:tcPr>
            <w:tcW w:type="dxa" w:w="1419"/>
            <w:shd w:fill="F7FAFC"/>
          </w:tcPr>
          <w:p>
            <w:pPr>
              <w:spacing w:before="40" w:after="40"/>
            </w:pPr>
            <w:r>
              <w:rPr>
                <w:rFonts w:ascii="Calibri" w:hAnsi="Calibri"/>
                <w:sz w:val="16"/>
              </w:rPr>
              <w:t>0.9655</w:t>
            </w:r>
          </w:p>
        </w:tc>
        <w:tc>
          <w:tcPr>
            <w:tcW w:type="dxa" w:w="1419"/>
            <w:shd w:fill="F7FAFC"/>
          </w:tcPr>
          <w:p>
            <w:pPr>
              <w:spacing w:before="40" w:after="40"/>
            </w:pPr>
            <w:r>
              <w:rPr>
                <w:rFonts w:ascii="Calibri" w:hAnsi="Calibri"/>
                <w:sz w:val="16"/>
              </w:rPr>
              <w:t>[0, 0, 399, 399]</w:t>
            </w:r>
          </w:p>
        </w:tc>
      </w:tr>
      <w:tr>
        <w:tc>
          <w:tcPr>
            <w:tcW w:type="dxa" w:w="1419"/>
            <w:shd w:fill="FFFFFF"/>
          </w:tcPr>
          <w:p>
            <w:pPr>
              <w:spacing w:before="40" w:after="40"/>
            </w:pPr>
            <w:r>
              <w:rPr>
                <w:rFonts w:ascii="Calibri" w:hAnsi="Calibri"/>
                <w:sz w:val="16"/>
              </w:rPr>
              <w:t>Simultaneous Contrast</w:t>
            </w:r>
          </w:p>
        </w:tc>
        <w:tc>
          <w:tcPr>
            <w:tcW w:type="dxa" w:w="1419"/>
            <w:shd w:fill="FFFFFF"/>
          </w:tcPr>
          <w:p>
            <w:pPr>
              <w:spacing w:before="40" w:after="40"/>
            </w:pPr>
            <w:r>
              <w:rPr>
                <w:rFonts w:ascii="Calibri" w:hAnsi="Calibri"/>
                <w:sz w:val="16"/>
              </w:rPr>
              <w:t>Optical Illusion</w:t>
            </w:r>
          </w:p>
        </w:tc>
        <w:tc>
          <w:tcPr>
            <w:tcW w:type="dxa" w:w="1419"/>
            <w:shd w:fill="FFFFFF"/>
          </w:tcPr>
          <w:p>
            <w:pPr>
              <w:spacing w:before="40" w:after="40"/>
            </w:pPr>
            <w:r>
              <w:rPr>
                <w:rFonts w:ascii="Calibri" w:hAnsi="Calibri"/>
                <w:sz w:val="16"/>
              </w:rPr>
              <w:t>88.00%</w:t>
            </w:r>
          </w:p>
        </w:tc>
        <w:tc>
          <w:tcPr>
            <w:tcW w:type="dxa" w:w="1419"/>
            <w:shd w:fill="FFFFFF"/>
          </w:tcPr>
          <w:p>
            <w:pPr>
              <w:spacing w:before="40" w:after="40"/>
            </w:pPr>
            <w:r>
              <w:rPr>
                <w:rFonts w:ascii="Calibri" w:hAnsi="Calibri"/>
                <w:sz w:val="16"/>
              </w:rPr>
              <w:t>Brightness &amp; Contrast</w:t>
            </w:r>
          </w:p>
        </w:tc>
        <w:tc>
          <w:tcPr>
            <w:tcW w:type="dxa" w:w="1419"/>
            <w:shd w:fill="FFFFFF"/>
          </w:tcPr>
          <w:p>
            <w:pPr>
              <w:spacing w:before="40" w:after="40"/>
            </w:pPr>
            <w:r>
              <w:rPr>
                <w:rFonts w:ascii="Calibri" w:hAnsi="Calibri"/>
                <w:sz w:val="16"/>
              </w:rPr>
              <w:t>No (Monostable)</w:t>
            </w:r>
          </w:p>
        </w:tc>
        <w:tc>
          <w:tcPr>
            <w:tcW w:type="dxa" w:w="1419"/>
            <w:shd w:fill="FFFFFF"/>
          </w:tcPr>
          <w:p>
            <w:pPr>
              <w:spacing w:before="40" w:after="40"/>
            </w:pPr>
            <w:r>
              <w:rPr>
                <w:rFonts w:ascii="Calibri" w:hAnsi="Calibri"/>
                <w:sz w:val="16"/>
              </w:rPr>
              <w:t>0.1500</w:t>
            </w:r>
          </w:p>
        </w:tc>
        <w:tc>
          <w:tcPr>
            <w:tcW w:type="dxa" w:w="1419"/>
            <w:shd w:fill="FFFFFF"/>
          </w:tcPr>
          <w:p>
            <w:pPr>
              <w:spacing w:before="40" w:after="40"/>
            </w:pPr>
            <w:r>
              <w:rPr>
                <w:rFonts w:ascii="Calibri" w:hAnsi="Calibri"/>
                <w:sz w:val="16"/>
              </w:rPr>
              <w:t>[0, 200, 399, 399]</w:t>
            </w:r>
          </w:p>
        </w:tc>
      </w:tr>
    </w:tbl>
    <w:p>
      <w:pPr>
        <w:pStyle w:val="Heading1"/>
      </w:pPr>
      <w:r>
        <w:t>8. Codebase Implementation &amp; Directory Structure</w:t>
      </w:r>
    </w:p>
    <w:p>
      <w:r>
        <w:t>The project has been implemented as a fully functional, self-contained Python software package located at perception_x_optical_illusion/. Below is the directory organization and module reference:</w:t>
      </w:r>
    </w:p>
    <w:p>
      <w:r>
        <w:rPr>
          <w:rFonts w:ascii="Consolas" w:hAnsi="Consolas"/>
          <w:sz w:val="17"/>
        </w:rPr>
        <w:t>perception_x_optical_illusion/</w:t>
        <w:br/>
        <w:t>├── data/</w:t>
        <w:br/>
        <w:t>│   ├── dataset_importers.py         # Importers &amp; catalogs for IllusionVQA, CASIA, etc.</w:t>
        <w:br/>
        <w:t>│   ├── synthetic_generators.py      # Parametric optical illusion &amp; normal object generator</w:t>
        <w:br/>
        <w:t>│   └── samples/                     # 8 generated test stimuli PNGs</w:t>
        <w:br/>
        <w:t>├── core/</w:t>
        <w:br/>
        <w:t>│   ├── feature_extractor.py         # Multi-domain features (Luminance, FFT, ELA, Symmetry)</w:t>
        <w:br/>
        <w:t>│   ├── ambiguity_engine.py          # Quantum-tunnelling bistability &amp; entropy (Maksymov 2024)</w:t>
        <w:br/>
        <w:t>│   ├── explainability.py            # Causal trigger heatmap &amp; soft-localization bounding box</w:t>
        <w:br/>
        <w:t>│   └── reasoning_engine.py          # Cognitive perceptual scientific explanation generator</w:t>
        <w:br/>
        <w:t>├── models/</w:t>
        <w:br/>
        <w:t>│   └── perception_x_pipeline.py     # Unified 5-stage hierarchical classification engine</w:t>
        <w:br/>
        <w:t>├── outputs/                         # 4-panel diagnostic visual cards for all stimuli</w:t>
        <w:br/>
        <w:t>├── hands_on_demo.py                 # Interactive playground &amp; verification script</w:t>
        <w:br/>
        <w:t>└── generate_docx_report.py          # Comprehensive Word document generator</w:t>
        <w:br/>
      </w:r>
    </w:p>
    <w:p>
      <w:pPr>
        <w:pStyle w:val="Heading1"/>
      </w:pPr>
      <w:r>
        <w:t>9. Conclusion &amp; Future Roadmap</w:t>
      </w:r>
    </w:p>
    <w:p>
      <w:r>
        <w:t>Perception-X successfully resolves the fundamental limitations identified across the five reviewed papers: (1) It unifies multi-class illusion classification with pixel-level explainability, (2) Handles ambiguous bistability through quantum-inspired dual-state probabilities, and (3) Effectively discriminates natural optical illusions from digital manipulation and normal physical objects.</w:t>
        <w:br/>
        <w:br/>
        <w:t>Future enhancements will focus on fine-tuning open-weights Vision-Language Models (e.g., LLaVA-NeXT / PaliGemma) on the IllusionVQA benchmark using soft-localization loss, and integrating dynamic temporal sequences to classify peripheral motion illusions such as the Rotating Snakes.</w:t>
      </w:r>
    </w:p>
    <w:p>
      <w:pPr>
        <w:pStyle w:val="Heading1"/>
      </w:pPr>
      <w:r>
        <w:t>Visual Diagnostic Artifacts (Outputs)</w:t>
      </w:r>
    </w:p>
    <w:p>
      <w:pPr>
        <w:pStyle w:val="Heading2"/>
      </w:pPr>
      <w:r>
        <w:t>Cafe Wall</w:t>
      </w:r>
    </w:p>
    <w:p>
      <w:r>
        <w:drawing>
          <wp:inline xmlns:a="http://schemas.openxmlformats.org/drawingml/2006/main" xmlns:pic="http://schemas.openxmlformats.org/drawingml/2006/picture">
            <wp:extent cx="5669280" cy="1461982"/>
            <wp:docPr id="1" name="Picture 1"/>
            <wp:cNvGraphicFramePr>
              <a:graphicFrameLocks noChangeAspect="1"/>
            </wp:cNvGraphicFramePr>
            <a:graphic>
              <a:graphicData uri="http://schemas.openxmlformats.org/drawingml/2006/picture">
                <pic:pic>
                  <pic:nvPicPr>
                    <pic:cNvPr id="0" name="diagnostic_cafe_wall.png"/>
                    <pic:cNvPicPr/>
                  </pic:nvPicPr>
                  <pic:blipFill>
                    <a:blip r:embed="rId9"/>
                    <a:stretch>
                      <a:fillRect/>
                    </a:stretch>
                  </pic:blipFill>
                  <pic:spPr>
                    <a:xfrm>
                      <a:off x="0" y="0"/>
                      <a:ext cx="5669280" cy="1461982"/>
                    </a:xfrm>
                    <a:prstGeom prst="rect"/>
                  </pic:spPr>
                </pic:pic>
              </a:graphicData>
            </a:graphic>
          </wp:inline>
        </w:drawing>
      </w:r>
    </w:p>
    <w:p>
      <w:pPr>
        <w:pStyle w:val="Caption"/>
        <w:jc w:val="center"/>
      </w:pPr>
      <w:r>
        <w:t>Figure: 4-Panel Perception-X Diagnostic Card for diagnostic_cafe_wall.png</w:t>
      </w:r>
    </w:p>
    <w:p>
      <w:pPr>
        <w:pStyle w:val="Heading2"/>
      </w:pPr>
      <w:r>
        <w:t>Hermann Grid</w:t>
      </w:r>
    </w:p>
    <w:p>
      <w:r>
        <w:drawing>
          <wp:inline xmlns:a="http://schemas.openxmlformats.org/drawingml/2006/main" xmlns:pic="http://schemas.openxmlformats.org/drawingml/2006/picture">
            <wp:extent cx="5669280" cy="1461982"/>
            <wp:docPr id="2" name="Picture 2"/>
            <wp:cNvGraphicFramePr>
              <a:graphicFrameLocks noChangeAspect="1"/>
            </wp:cNvGraphicFramePr>
            <a:graphic>
              <a:graphicData uri="http://schemas.openxmlformats.org/drawingml/2006/picture">
                <pic:pic>
                  <pic:nvPicPr>
                    <pic:cNvPr id="0" name="diagnostic_hermann_grid.png"/>
                    <pic:cNvPicPr/>
                  </pic:nvPicPr>
                  <pic:blipFill>
                    <a:blip r:embed="rId10"/>
                    <a:stretch>
                      <a:fillRect/>
                    </a:stretch>
                  </pic:blipFill>
                  <pic:spPr>
                    <a:xfrm>
                      <a:off x="0" y="0"/>
                      <a:ext cx="5669280" cy="1461982"/>
                    </a:xfrm>
                    <a:prstGeom prst="rect"/>
                  </pic:spPr>
                </pic:pic>
              </a:graphicData>
            </a:graphic>
          </wp:inline>
        </w:drawing>
      </w:r>
    </w:p>
    <w:p>
      <w:pPr>
        <w:pStyle w:val="Caption"/>
        <w:jc w:val="center"/>
      </w:pPr>
      <w:r>
        <w:t>Figure: 4-Panel Perception-X Diagnostic Card for diagnostic_hermann_grid.png</w:t>
      </w:r>
    </w:p>
    <w:p>
      <w:pPr>
        <w:pStyle w:val="Heading2"/>
      </w:pPr>
      <w:r>
        <w:t>Manipulated Splicing</w:t>
      </w:r>
    </w:p>
    <w:p>
      <w:r>
        <w:drawing>
          <wp:inline xmlns:a="http://schemas.openxmlformats.org/drawingml/2006/main" xmlns:pic="http://schemas.openxmlformats.org/drawingml/2006/picture">
            <wp:extent cx="5669280" cy="1461982"/>
            <wp:docPr id="3" name="Picture 3"/>
            <wp:cNvGraphicFramePr>
              <a:graphicFrameLocks noChangeAspect="1"/>
            </wp:cNvGraphicFramePr>
            <a:graphic>
              <a:graphicData uri="http://schemas.openxmlformats.org/drawingml/2006/picture">
                <pic:pic>
                  <pic:nvPicPr>
                    <pic:cNvPr id="0" name="diagnostic_manipulated_splicing.png"/>
                    <pic:cNvPicPr/>
                  </pic:nvPicPr>
                  <pic:blipFill>
                    <a:blip r:embed="rId11"/>
                    <a:stretch>
                      <a:fillRect/>
                    </a:stretch>
                  </pic:blipFill>
                  <pic:spPr>
                    <a:xfrm>
                      <a:off x="0" y="0"/>
                      <a:ext cx="5669280" cy="1461982"/>
                    </a:xfrm>
                    <a:prstGeom prst="rect"/>
                  </pic:spPr>
                </pic:pic>
              </a:graphicData>
            </a:graphic>
          </wp:inline>
        </w:drawing>
      </w:r>
    </w:p>
    <w:p>
      <w:pPr>
        <w:pStyle w:val="Caption"/>
        <w:jc w:val="center"/>
      </w:pPr>
      <w:r>
        <w:t>Figure: 4-Panel Perception-X Diagnostic Card for diagnostic_manipulated_splicing.png</w:t>
      </w:r>
    </w:p>
    <w:p>
      <w:pPr>
        <w:pStyle w:val="Heading2"/>
      </w:pPr>
      <w:r>
        <w:t>Muller Lyer</w:t>
      </w:r>
    </w:p>
    <w:p>
      <w:r>
        <w:drawing>
          <wp:inline xmlns:a="http://schemas.openxmlformats.org/drawingml/2006/main" xmlns:pic="http://schemas.openxmlformats.org/drawingml/2006/picture">
            <wp:extent cx="5669280" cy="1461982"/>
            <wp:docPr id="4" name="Picture 4"/>
            <wp:cNvGraphicFramePr>
              <a:graphicFrameLocks noChangeAspect="1"/>
            </wp:cNvGraphicFramePr>
            <a:graphic>
              <a:graphicData uri="http://schemas.openxmlformats.org/drawingml/2006/picture">
                <pic:pic>
                  <pic:nvPicPr>
                    <pic:cNvPr id="0" name="diagnostic_muller_lyer.png"/>
                    <pic:cNvPicPr/>
                  </pic:nvPicPr>
                  <pic:blipFill>
                    <a:blip r:embed="rId12"/>
                    <a:stretch>
                      <a:fillRect/>
                    </a:stretch>
                  </pic:blipFill>
                  <pic:spPr>
                    <a:xfrm>
                      <a:off x="0" y="0"/>
                      <a:ext cx="5669280" cy="1461982"/>
                    </a:xfrm>
                    <a:prstGeom prst="rect"/>
                  </pic:spPr>
                </pic:pic>
              </a:graphicData>
            </a:graphic>
          </wp:inline>
        </w:drawing>
      </w:r>
    </w:p>
    <w:p>
      <w:pPr>
        <w:pStyle w:val="Caption"/>
        <w:jc w:val="center"/>
      </w:pPr>
      <w:r>
        <w:t>Figure: 4-Panel Perception-X Diagnostic Card for diagnostic_muller_lyer.png</w:t>
      </w:r>
    </w:p>
    <w:p>
      <w:pPr>
        <w:pStyle w:val="Heading2"/>
      </w:pPr>
      <w:r>
        <w:t>Natural Object</w:t>
      </w:r>
    </w:p>
    <w:p>
      <w:r>
        <w:drawing>
          <wp:inline xmlns:a="http://schemas.openxmlformats.org/drawingml/2006/main" xmlns:pic="http://schemas.openxmlformats.org/drawingml/2006/picture">
            <wp:extent cx="5669280" cy="1461982"/>
            <wp:docPr id="5" name="Picture 5"/>
            <wp:cNvGraphicFramePr>
              <a:graphicFrameLocks noChangeAspect="1"/>
            </wp:cNvGraphicFramePr>
            <a:graphic>
              <a:graphicData uri="http://schemas.openxmlformats.org/drawingml/2006/picture">
                <pic:pic>
                  <pic:nvPicPr>
                    <pic:cNvPr id="0" name="diagnostic_natural_object.png"/>
                    <pic:cNvPicPr/>
                  </pic:nvPicPr>
                  <pic:blipFill>
                    <a:blip r:embed="rId13"/>
                    <a:stretch>
                      <a:fillRect/>
                    </a:stretch>
                  </pic:blipFill>
                  <pic:spPr>
                    <a:xfrm>
                      <a:off x="0" y="0"/>
                      <a:ext cx="5669280" cy="1461982"/>
                    </a:xfrm>
                    <a:prstGeom prst="rect"/>
                  </pic:spPr>
                </pic:pic>
              </a:graphicData>
            </a:graphic>
          </wp:inline>
        </w:drawing>
      </w:r>
    </w:p>
    <w:p>
      <w:pPr>
        <w:pStyle w:val="Caption"/>
        <w:jc w:val="center"/>
      </w:pPr>
      <w:r>
        <w:t>Figure: 4-Panel Perception-X Diagnostic Card for diagnostic_natural_object.png</w:t>
      </w:r>
    </w:p>
    <w:p>
      <w:pPr>
        <w:pStyle w:val="Heading2"/>
      </w:pPr>
      <w:r>
        <w:t>Necker Cube</w:t>
      </w:r>
    </w:p>
    <w:p>
      <w:r>
        <w:drawing>
          <wp:inline xmlns:a="http://schemas.openxmlformats.org/drawingml/2006/main" xmlns:pic="http://schemas.openxmlformats.org/drawingml/2006/picture">
            <wp:extent cx="5669280" cy="1461982"/>
            <wp:docPr id="6" name="Picture 6"/>
            <wp:cNvGraphicFramePr>
              <a:graphicFrameLocks noChangeAspect="1"/>
            </wp:cNvGraphicFramePr>
            <a:graphic>
              <a:graphicData uri="http://schemas.openxmlformats.org/drawingml/2006/picture">
                <pic:pic>
                  <pic:nvPicPr>
                    <pic:cNvPr id="0" name="diagnostic_necker_cube.png"/>
                    <pic:cNvPicPr/>
                  </pic:nvPicPr>
                  <pic:blipFill>
                    <a:blip r:embed="rId14"/>
                    <a:stretch>
                      <a:fillRect/>
                    </a:stretch>
                  </pic:blipFill>
                  <pic:spPr>
                    <a:xfrm>
                      <a:off x="0" y="0"/>
                      <a:ext cx="5669280" cy="1461982"/>
                    </a:xfrm>
                    <a:prstGeom prst="rect"/>
                  </pic:spPr>
                </pic:pic>
              </a:graphicData>
            </a:graphic>
          </wp:inline>
        </w:drawing>
      </w:r>
    </w:p>
    <w:p>
      <w:pPr>
        <w:pStyle w:val="Caption"/>
        <w:jc w:val="center"/>
      </w:pPr>
      <w:r>
        <w:t>Figure: 4-Panel Perception-X Diagnostic Card for diagnostic_necker_cube.png</w:t>
      </w:r>
    </w:p>
    <w:p>
      <w:pPr>
        <w:pStyle w:val="Heading2"/>
      </w:pPr>
      <w:r>
        <w:t>Rubin Vase</w:t>
      </w:r>
    </w:p>
    <w:p>
      <w:r>
        <w:drawing>
          <wp:inline xmlns:a="http://schemas.openxmlformats.org/drawingml/2006/main" xmlns:pic="http://schemas.openxmlformats.org/drawingml/2006/picture">
            <wp:extent cx="5669280" cy="1461982"/>
            <wp:docPr id="7" name="Picture 7"/>
            <wp:cNvGraphicFramePr>
              <a:graphicFrameLocks noChangeAspect="1"/>
            </wp:cNvGraphicFramePr>
            <a:graphic>
              <a:graphicData uri="http://schemas.openxmlformats.org/drawingml/2006/picture">
                <pic:pic>
                  <pic:nvPicPr>
                    <pic:cNvPr id="0" name="diagnostic_rubin_vase.png"/>
                    <pic:cNvPicPr/>
                  </pic:nvPicPr>
                  <pic:blipFill>
                    <a:blip r:embed="rId15"/>
                    <a:stretch>
                      <a:fillRect/>
                    </a:stretch>
                  </pic:blipFill>
                  <pic:spPr>
                    <a:xfrm>
                      <a:off x="0" y="0"/>
                      <a:ext cx="5669280" cy="1461982"/>
                    </a:xfrm>
                    <a:prstGeom prst="rect"/>
                  </pic:spPr>
                </pic:pic>
              </a:graphicData>
            </a:graphic>
          </wp:inline>
        </w:drawing>
      </w:r>
    </w:p>
    <w:p>
      <w:pPr>
        <w:pStyle w:val="Caption"/>
        <w:jc w:val="center"/>
      </w:pPr>
      <w:r>
        <w:t>Figure: 4-Panel Perception-X Diagnostic Card for diagnostic_rubin_vase.png</w:t>
      </w:r>
    </w:p>
    <w:p>
      <w:pPr>
        <w:pStyle w:val="Heading2"/>
      </w:pPr>
      <w:r>
        <w:t>Simultaneous Contrast</w:t>
      </w:r>
    </w:p>
    <w:p>
      <w:r>
        <w:drawing>
          <wp:inline xmlns:a="http://schemas.openxmlformats.org/drawingml/2006/main" xmlns:pic="http://schemas.openxmlformats.org/drawingml/2006/picture">
            <wp:extent cx="5669280" cy="1461982"/>
            <wp:docPr id="8" name="Picture 8"/>
            <wp:cNvGraphicFramePr>
              <a:graphicFrameLocks noChangeAspect="1"/>
            </wp:cNvGraphicFramePr>
            <a:graphic>
              <a:graphicData uri="http://schemas.openxmlformats.org/drawingml/2006/picture">
                <pic:pic>
                  <pic:nvPicPr>
                    <pic:cNvPr id="0" name="diagnostic_simultaneous_contrast.png"/>
                    <pic:cNvPicPr/>
                  </pic:nvPicPr>
                  <pic:blipFill>
                    <a:blip r:embed="rId16"/>
                    <a:stretch>
                      <a:fillRect/>
                    </a:stretch>
                  </pic:blipFill>
                  <pic:spPr>
                    <a:xfrm>
                      <a:off x="0" y="0"/>
                      <a:ext cx="5669280" cy="1461982"/>
                    </a:xfrm>
                    <a:prstGeom prst="rect"/>
                  </pic:spPr>
                </pic:pic>
              </a:graphicData>
            </a:graphic>
          </wp:inline>
        </w:drawing>
      </w:r>
    </w:p>
    <w:p>
      <w:pPr>
        <w:pStyle w:val="Caption"/>
        <w:jc w:val="center"/>
      </w:pPr>
      <w:r>
        <w:t>Figure: 4-Panel Perception-X Diagnostic Card for diagnostic_simultaneous_contrast.png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