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color w:val="0A2540"/>
          <w:sz w:val="36"/>
        </w:rPr>
        <w:t>PERCEPTION-X: AI-BASED AMBIGUOUS IMAGE DETECTION, MULTI-CATEGORY OPTICAL ILLUSION CLASSIFICATION, AND EXPLAINABLE FORENSIC PIPELINE</w:t>
      </w:r>
    </w:p>
    <w:p>
      <w:pPr>
        <w:spacing w:after="360" w:line="276" w:lineRule="auto"/>
        <w:jc w:val="center"/>
      </w:pPr>
      <w:r>
        <w:rPr>
          <w:rFonts w:ascii="Times New Roman" w:hAnsi="Times New Roman"/>
          <w:b w:val="0"/>
          <w:i/>
          <w:color w:val="4A5568"/>
          <w:sz w:val="21"/>
        </w:rPr>
        <w:t>Comprehensive Research Literature Review, Mind Map Synthesis, Dataset Architecture, Technical Workflow Specification, and Hands-On Experimental Verification</w:t>
        <w:br/>
        <w:t>Prepared in Times New Roman | Based on: COLM 2024, IEEE ISWTA 2024, Springer Applied Intelligence 2024, AIP APL 2024, Frontiers in AI 2026</w:t>
      </w:r>
    </w:p>
    <w:p>
      <w:pPr>
        <w:keepNext/>
        <w:spacing w:before="280" w:after="80"/>
      </w:pPr>
      <w:r>
        <w:rPr>
          <w:rFonts w:ascii="Times New Roman" w:hAnsi="Times New Roman"/>
          <w:b/>
          <w:color w:val="0A2540"/>
          <w:sz w:val="30"/>
        </w:rPr>
        <w:t>1. LITERATURE REVIEW</w:t>
      </w:r>
    </w:p>
    <w:p>
      <w:pPr>
        <w:keepNext/>
        <w:spacing w:before="200" w:after="60"/>
      </w:pPr>
      <w:r>
        <w:rPr>
          <w:rFonts w:ascii="Times New Roman" w:hAnsi="Times New Roman"/>
          <w:b/>
          <w:color w:val="1B365D"/>
          <w:sz w:val="26"/>
        </w:rPr>
        <w:t>1.1 Identification of Need</w:t>
      </w:r>
    </w:p>
    <w:p>
      <w:pPr>
        <w:spacing w:after="120" w:line="276" w:lineRule="auto"/>
        <w:jc w:val="left"/>
      </w:pPr>
      <w:r>
        <w:rPr>
          <w:rFonts w:ascii="Times New Roman" w:hAnsi="Times New Roman"/>
          <w:b w:val="0"/>
          <w:i w:val="0"/>
          <w:color w:val="222222"/>
          <w:sz w:val="22"/>
        </w:rPr>
        <w:t>Human visual perception can be misled by certain visual patterns, resulting in optical illusions and ambiguous figures that are interpreted differently from their true physical content. While this phenomenon is well studied in psychology and vision science, there is no widely available automated system that can reliably detect whether an image contains an illusion, classify its type, explain why the illusion occurs, and distinguish a naturally occurring illusion from a digitally manipulated or deceptive image.</w:t>
      </w:r>
    </w:p>
    <w:p>
      <w:pPr>
        <w:spacing w:after="120" w:line="276" w:lineRule="auto"/>
        <w:jc w:val="left"/>
      </w:pPr>
      <w:r>
        <w:rPr>
          <w:rFonts w:ascii="Times New Roman" w:hAnsi="Times New Roman"/>
          <w:b w:val="0"/>
          <w:i w:val="0"/>
          <w:color w:val="222222"/>
          <w:sz w:val="22"/>
        </w:rPr>
        <w:t>Existing image-classification systems are trained on natural, unambiguous imagery and are not designed to recognize illusion-specific visual cues such as contrast induction, repeated geometric patterns, perspective tricks, or multistable figure-ground relationships. This creates a clear need for a dedicated AI-based system — such as Perception-X — that can detect, classify, localize and explain ambiguous and illusory images with a measurable confidence score, drawing on recent advances in convolutional networks, explainable AI, vision-language models and forgery detection.</w:t>
      </w:r>
    </w:p>
    <w:p>
      <w:pPr>
        <w:keepNext/>
        <w:spacing w:before="200" w:after="60"/>
      </w:pPr>
      <w:r>
        <w:rPr>
          <w:rFonts w:ascii="Times New Roman" w:hAnsi="Times New Roman"/>
          <w:b/>
          <w:color w:val="1B365D"/>
          <w:sz w:val="26"/>
        </w:rPr>
        <w:t>1.2 Mind Map of the Literature Review</w:t>
      </w:r>
    </w:p>
    <w:p>
      <w:pPr>
        <w:spacing w:after="120" w:line="276" w:lineRule="auto"/>
        <w:jc w:val="left"/>
      </w:pPr>
      <w:r>
        <w:rPr>
          <w:rFonts w:ascii="Times New Roman" w:hAnsi="Times New Roman"/>
          <w:b w:val="0"/>
          <w:i w:val="0"/>
          <w:color w:val="222222"/>
          <w:sz w:val="22"/>
        </w:rPr>
        <w:t>The mind map organizes the five reviewed papers around the core theme of Perception-X, grouping them by their primary contribution area and the underlying algorithm family used in each study:</w:t>
      </w:r>
    </w:p>
    <w:p>
      <w:pPr>
        <w:spacing w:after="200" w:line="276" w:lineRule="auto"/>
        <w:jc w:val="left"/>
      </w:pPr>
      <w:r>
        <w:rPr>
          <w:rFonts w:ascii="Times New Roman" w:hAnsi="Times New Roman"/>
          <w:b w:val="0"/>
          <w:i w:val="0"/>
          <w:color w:val="222222"/>
          <w:sz w:val="19"/>
        </w:rPr>
        <w:t>• Branch 1 (Illusion Comprehension &amp; Localization): [P1] Shahgir et al., 2024 (COLM 2024) -&gt; ViT / VLMs (GPT-4V, few-shot, Chain-of-Thought)</w:t>
        <w:br/>
        <w:t>• Branch 2 (Multi-Modal Illusion Recognition): [P2] Leong, 2024 (IEEE WTA 2024) -&gt; CNN feature extractor + Graph Neural Network</w:t>
        <w:br/>
        <w:t>• Branch 3 (Brightness Illusion Modeling &amp; Localization): [P3] Mukherjee et al., 2024 (Springer Applied Intelligence) -&gt; CNN, Autoencoder, U-Net, U-Net++</w:t>
        <w:br/>
        <w:t>• Branch 4 (Bio-Inspired / Quantum Illusion Perception): [P4] Maksymov, 2024 (AIP APL Machine Learning) -&gt; Quantum-Tunnelling Activation-based DNN (QT-DNN)</w:t>
        <w:br/>
        <w:t>• Branch 5 (Digital Manipulation &amp; Deepfake Detection): [P5] DeepForgeryNet, 2026 (Frontiers in AI) -&gt; Hybrid CNN-LSTM + Transfer Learning</w:t>
      </w:r>
    </w:p>
    <w:p>
      <w:pPr>
        <w:keepNext/>
        <w:spacing w:before="200" w:after="60"/>
      </w:pPr>
      <w:r>
        <w:rPr>
          <w:rFonts w:ascii="Times New Roman" w:hAnsi="Times New Roman"/>
          <w:b/>
          <w:color w:val="1B365D"/>
          <w:sz w:val="26"/>
        </w:rPr>
        <w:t>1.3 Reviewed Papers in Full Detail</w:t>
      </w:r>
    </w:p>
    <w:p>
      <w:pPr>
        <w:keepNext/>
        <w:spacing w:before="160" w:after="40"/>
      </w:pPr>
      <w:r>
        <w:rPr>
          <w:rFonts w:ascii="Times New Roman" w:hAnsi="Times New Roman"/>
          <w:b/>
          <w:color w:val="2D3748"/>
          <w:sz w:val="23"/>
        </w:rPr>
        <w:t>[1] IllusionVQA: A Challenging Optical Illusion Dataset for Vision Language Models</w:t>
      </w:r>
    </w:p>
    <w:p>
      <w:pPr>
        <w:spacing w:after="120" w:line="276" w:lineRule="auto"/>
        <w:jc w:val="left"/>
      </w:pPr>
      <w:r>
        <w:rPr>
          <w:rFonts w:ascii="Times New Roman" w:hAnsi="Times New Roman"/>
          <w:b w:val="0"/>
          <w:i/>
          <w:color w:val="222222"/>
          <w:sz w:val="19"/>
        </w:rPr>
        <w:t>Shahgir et al. (2024) — COLM 2024 (Conference on Language Modeling)</w:t>
      </w:r>
    </w:p>
    <w:p>
      <w:pPr>
        <w:spacing w:after="120" w:line="276" w:lineRule="auto"/>
        <w:jc w:val="left"/>
      </w:pPr>
      <w:r>
        <w:rPr>
          <w:rFonts w:ascii="Times New Roman" w:hAnsi="Times New Roman"/>
          <w:b w:val="0"/>
          <w:i w:val="0"/>
          <w:color w:val="222222"/>
          <w:sz w:val="22"/>
        </w:rPr>
        <w:t>Summary of the Paper: This paper introduces IllusionVQA, a diverse dataset of challenging optical illusions and hard-to-interpret images, used to test Vision-Language Models (VLMs) on two multiple-choice tasks: comprehension (identifying what the illusion depicts) and soft localization (pointing to the region causing the illusory effect). The best performing model, GPT-4V, achieved only about 63% accuracy on comprehension and under 50% on localization, far below human performance, revealing that current VLMs do not "see" illusions the way humans do.</w:t>
      </w:r>
    </w:p>
    <w:p>
      <w:pPr>
        <w:spacing w:after="120" w:line="276" w:lineRule="auto"/>
        <w:jc w:val="left"/>
      </w:pPr>
      <w:r>
        <w:rPr>
          <w:rFonts w:ascii="Times New Roman" w:hAnsi="Times New Roman"/>
          <w:b w:val="0"/>
          <w:i w:val="0"/>
          <w:color w:val="222222"/>
          <w:sz w:val="22"/>
        </w:rPr>
        <w:t>Algorithm(s) / Technique Used: Vision Transformers / Vision-Language Models (GPT-4V class), prompted with few-shot and Chain-of-Thought reasoning.</w:t>
      </w:r>
    </w:p>
    <w:p>
      <w:pPr>
        <w:spacing w:after="120" w:line="276" w:lineRule="auto"/>
        <w:jc w:val="left"/>
      </w:pPr>
      <w:r>
        <w:rPr>
          <w:rFonts w:ascii="Times New Roman" w:hAnsi="Times New Roman"/>
          <w:b/>
          <w:i w:val="0"/>
          <w:color w:val="222222"/>
          <w:sz w:val="20"/>
        </w:rPr>
        <w:t>Advantages:</w:t>
      </w:r>
    </w:p>
    <w:p>
      <w:pPr>
        <w:pStyle w:val="ListBullet"/>
        <w:spacing w:after="40" w:line="276" w:lineRule="auto"/>
      </w:pPr>
      <w:r>
        <w:rPr>
          <w:rFonts w:ascii="Times New Roman" w:hAnsi="Times New Roman"/>
          <w:sz w:val="21"/>
        </w:rPr>
        <w:t>Provides a large, diverse benchmark spanning many illusion categories rather than a narrow single type.</w:t>
      </w:r>
    </w:p>
    <w:p>
      <w:pPr>
        <w:pStyle w:val="ListBullet"/>
        <w:spacing w:after="40" w:line="276" w:lineRule="auto"/>
      </w:pPr>
      <w:r>
        <w:rPr>
          <w:rFonts w:ascii="Times New Roman" w:hAnsi="Times New Roman"/>
          <w:sz w:val="21"/>
        </w:rPr>
        <w:t>Evaluates both classification (comprehension) and spatial localization in one framework.</w:t>
      </w:r>
    </w:p>
    <w:p>
      <w:pPr>
        <w:pStyle w:val="ListBullet"/>
        <w:spacing w:after="40" w:line="276" w:lineRule="auto"/>
      </w:pPr>
      <w:r>
        <w:rPr>
          <w:rFonts w:ascii="Times New Roman" w:hAnsi="Times New Roman"/>
          <w:sz w:val="21"/>
        </w:rPr>
        <w:t>Enables direct, quantitative comparison between human and AI perceptual performance.</w:t>
      </w:r>
    </w:p>
    <w:p>
      <w:pPr>
        <w:spacing w:after="120" w:line="276" w:lineRule="auto"/>
        <w:jc w:val="left"/>
      </w:pPr>
      <w:r>
        <w:rPr>
          <w:rFonts w:ascii="Times New Roman" w:hAnsi="Times New Roman"/>
          <w:b/>
          <w:i w:val="0"/>
          <w:color w:val="222222"/>
          <w:sz w:val="20"/>
        </w:rPr>
        <w:t>Disadvantages:</w:t>
      </w:r>
    </w:p>
    <w:p>
      <w:pPr>
        <w:pStyle w:val="ListBullet"/>
        <w:spacing w:after="40" w:line="276" w:lineRule="auto"/>
      </w:pPr>
      <w:r>
        <w:rPr>
          <w:rFonts w:ascii="Times New Roman" w:hAnsi="Times New Roman"/>
          <w:sz w:val="21"/>
        </w:rPr>
        <w:t>VLMs show poor and inconsistent localization accuracy, especially with ambiguous or ill-defined illusion boundaries.</w:t>
      </w:r>
    </w:p>
    <w:p>
      <w:pPr>
        <w:pStyle w:val="ListBullet"/>
        <w:spacing w:after="40" w:line="276" w:lineRule="auto"/>
      </w:pPr>
      <w:r>
        <w:rPr>
          <w:rFonts w:ascii="Times New Roman" w:hAnsi="Times New Roman"/>
          <w:sz w:val="21"/>
        </w:rPr>
        <w:t>No pixel-level heatmap or Grad-CAM-style explainability is produced — only multiple-choice answers.</w:t>
      </w:r>
    </w:p>
    <w:p>
      <w:pPr>
        <w:pStyle w:val="ListBullet"/>
        <w:spacing w:after="40" w:line="276" w:lineRule="auto"/>
      </w:pPr>
      <w:r>
        <w:rPr>
          <w:rFonts w:ascii="Times New Roman" w:hAnsi="Times New Roman"/>
          <w:sz w:val="21"/>
        </w:rPr>
        <w:t>Dependent on very large, closed pretrained models, making it computationally expensive to reproduce or fine-tune.</w:t>
      </w:r>
    </w:p>
    <w:p>
      <w:pPr>
        <w:keepNext/>
        <w:spacing w:before="160" w:after="40"/>
      </w:pPr>
      <w:r>
        <w:rPr>
          <w:rFonts w:ascii="Times New Roman" w:hAnsi="Times New Roman"/>
          <w:b/>
          <w:color w:val="2D3748"/>
          <w:sz w:val="23"/>
        </w:rPr>
        <w:t>[2] A Multi-Modal Deep Learning Approach for Enhanced Optical Illusion Recognition</w:t>
      </w:r>
    </w:p>
    <w:p>
      <w:pPr>
        <w:spacing w:after="120" w:line="276" w:lineRule="auto"/>
        <w:jc w:val="left"/>
      </w:pPr>
      <w:r>
        <w:rPr>
          <w:rFonts w:ascii="Times New Roman" w:hAnsi="Times New Roman"/>
          <w:b w:val="0"/>
          <w:i/>
          <w:color w:val="222222"/>
          <w:sz w:val="19"/>
        </w:rPr>
        <w:t>Leong, W.Y. (2024) — 2024 IEEE 8th Symposium on Wireless Technology &amp; Applications (IEEE Xplore)</w:t>
      </w:r>
    </w:p>
    <w:p>
      <w:pPr>
        <w:spacing w:after="120" w:line="276" w:lineRule="auto"/>
        <w:jc w:val="left"/>
      </w:pPr>
      <w:r>
        <w:rPr>
          <w:rFonts w:ascii="Times New Roman" w:hAnsi="Times New Roman"/>
          <w:b w:val="0"/>
          <w:i w:val="0"/>
          <w:color w:val="222222"/>
          <w:sz w:val="22"/>
        </w:rPr>
        <w:t>Summary of the Paper: This paper proposes a multi-modal deep learning model that fuses visual features with contextual information and cognitive-science-driven priors to improve recognition and classification of optical illusions such as geometric, color and motion illusions. A CNN extracts low-level visual features while a Graph Neural Network integrates contextual relationships between image regions, producing a joint representation used for final classification.</w:t>
      </w:r>
    </w:p>
    <w:p>
      <w:pPr>
        <w:spacing w:after="120" w:line="276" w:lineRule="auto"/>
        <w:jc w:val="left"/>
      </w:pPr>
      <w:r>
        <w:rPr>
          <w:rFonts w:ascii="Times New Roman" w:hAnsi="Times New Roman"/>
          <w:b w:val="0"/>
          <w:i w:val="0"/>
          <w:color w:val="222222"/>
          <w:sz w:val="22"/>
        </w:rPr>
        <w:t>Algorithm(s) / Technique Used: CNN-based visual feature extractor + Graph Neural Network for contextual fusion (multi-modal architecture).</w:t>
      </w:r>
    </w:p>
    <w:p>
      <w:pPr>
        <w:spacing w:after="120" w:line="276" w:lineRule="auto"/>
        <w:jc w:val="left"/>
      </w:pPr>
      <w:r>
        <w:rPr>
          <w:rFonts w:ascii="Times New Roman" w:hAnsi="Times New Roman"/>
          <w:b/>
          <w:i w:val="0"/>
          <w:color w:val="222222"/>
          <w:sz w:val="20"/>
        </w:rPr>
        <w:t>Advantages:</w:t>
      </w:r>
    </w:p>
    <w:p>
      <w:pPr>
        <w:pStyle w:val="ListBullet"/>
        <w:spacing w:after="40" w:line="276" w:lineRule="auto"/>
      </w:pPr>
      <w:r>
        <w:rPr>
          <w:rFonts w:ascii="Times New Roman" w:hAnsi="Times New Roman"/>
          <w:sz w:val="21"/>
        </w:rPr>
        <w:t>Fusing visual and contextual cues improves classification accuracy over CNN-only baselines.</w:t>
      </w:r>
    </w:p>
    <w:p>
      <w:pPr>
        <w:pStyle w:val="ListBullet"/>
        <w:spacing w:after="40" w:line="276" w:lineRule="auto"/>
      </w:pPr>
      <w:r>
        <w:rPr>
          <w:rFonts w:ascii="Times New Roman" w:hAnsi="Times New Roman"/>
          <w:sz w:val="21"/>
        </w:rPr>
        <w:t>Covers multiple illusion categories (geometric, color, motion) in a single model.</w:t>
      </w:r>
    </w:p>
    <w:p>
      <w:pPr>
        <w:pStyle w:val="ListBullet"/>
        <w:spacing w:after="40" w:line="276" w:lineRule="auto"/>
      </w:pPr>
      <w:r>
        <w:rPr>
          <w:rFonts w:ascii="Times New Roman" w:hAnsi="Times New Roman"/>
          <w:sz w:val="21"/>
        </w:rPr>
        <w:t>Published in an IEEE venue with a clearly reproducible architecture.</w:t>
      </w:r>
    </w:p>
    <w:p>
      <w:pPr>
        <w:spacing w:after="120" w:line="276" w:lineRule="auto"/>
        <w:jc w:val="left"/>
      </w:pPr>
      <w:r>
        <w:rPr>
          <w:rFonts w:ascii="Times New Roman" w:hAnsi="Times New Roman"/>
          <w:b/>
          <w:i w:val="0"/>
          <w:color w:val="222222"/>
          <w:sz w:val="20"/>
        </w:rPr>
        <w:t>Disadvantages:</w:t>
      </w:r>
    </w:p>
    <w:p>
      <w:pPr>
        <w:pStyle w:val="ListBullet"/>
        <w:spacing w:after="40" w:line="276" w:lineRule="auto"/>
      </w:pPr>
      <w:r>
        <w:rPr>
          <w:rFonts w:ascii="Times New Roman" w:hAnsi="Times New Roman"/>
          <w:sz w:val="21"/>
        </w:rPr>
        <w:t>Multi-modal fusion increases computational and memory overhead, limiting real-time / web deployment.</w:t>
      </w:r>
    </w:p>
    <w:p>
      <w:pPr>
        <w:pStyle w:val="ListBullet"/>
        <w:spacing w:after="40" w:line="276" w:lineRule="auto"/>
      </w:pPr>
      <w:r>
        <w:rPr>
          <w:rFonts w:ascii="Times New Roman" w:hAnsi="Times New Roman"/>
          <w:sz w:val="21"/>
        </w:rPr>
        <w:t>No explainability module — the model does not indicate which pixels drive its decision.</w:t>
      </w:r>
    </w:p>
    <w:p>
      <w:pPr>
        <w:pStyle w:val="ListBullet"/>
        <w:spacing w:after="40" w:line="276" w:lineRule="auto"/>
      </w:pPr>
      <w:r>
        <w:rPr>
          <w:rFonts w:ascii="Times New Roman" w:hAnsi="Times New Roman"/>
          <w:sz w:val="21"/>
        </w:rPr>
        <w:t>Evaluated on a relatively small, non-public illusion dataset, limiting generalizability.</w:t>
      </w:r>
    </w:p>
    <w:p>
      <w:pPr>
        <w:keepNext/>
        <w:spacing w:before="160" w:after="40"/>
      </w:pPr>
      <w:r>
        <w:rPr>
          <w:rFonts w:ascii="Times New Roman" w:hAnsi="Times New Roman"/>
          <w:b/>
          <w:color w:val="2D3748"/>
          <w:sz w:val="23"/>
        </w:rPr>
        <w:t>[3] Deep Learning Models for Perception of Brightness Related Illusions</w:t>
      </w:r>
    </w:p>
    <w:p>
      <w:pPr>
        <w:spacing w:after="120" w:line="276" w:lineRule="auto"/>
        <w:jc w:val="left"/>
      </w:pPr>
      <w:r>
        <w:rPr>
          <w:rFonts w:ascii="Times New Roman" w:hAnsi="Times New Roman"/>
          <w:b w:val="0"/>
          <w:i/>
          <w:color w:val="222222"/>
          <w:sz w:val="19"/>
        </w:rPr>
        <w:t>Mukherjee, A.; Paul, A.; Ghosh, K. (2024) — Applied Intelligence, Springer, Vol. 54(21), pp. 10259–10283</w:t>
      </w:r>
    </w:p>
    <w:p>
      <w:pPr>
        <w:spacing w:after="120" w:line="276" w:lineRule="auto"/>
        <w:jc w:val="left"/>
      </w:pPr>
      <w:r>
        <w:rPr>
          <w:rFonts w:ascii="Times New Roman" w:hAnsi="Times New Roman"/>
          <w:b w:val="0"/>
          <w:i w:val="0"/>
          <w:color w:val="222222"/>
          <w:sz w:val="22"/>
        </w:rPr>
        <w:t>Summary of the Paper: This paper studies how deep networks trained for low-level vision tasks (de-noising, de-blurring) replicate human brightness-contrast illusions such as the Hermann grid and grating induction. CNN, Autoencoder, U-Net and U-Net++ architectures are systematically compared to see which best reproduces human-like illusory perception, including antagonistic illusions that classical filtering models cannot explain.</w:t>
      </w:r>
    </w:p>
    <w:p>
      <w:pPr>
        <w:spacing w:after="120" w:line="276" w:lineRule="auto"/>
        <w:jc w:val="left"/>
      </w:pPr>
      <w:r>
        <w:rPr>
          <w:rFonts w:ascii="Times New Roman" w:hAnsi="Times New Roman"/>
          <w:b w:val="0"/>
          <w:i w:val="0"/>
          <w:color w:val="222222"/>
          <w:sz w:val="22"/>
        </w:rPr>
        <w:t>Algorithm(s) / Technique Used: CNN, Autoencoder, U-Net, and U-Net++ (encoder-decoder segmentation-style networks).</w:t>
      </w:r>
    </w:p>
    <w:p>
      <w:pPr>
        <w:spacing w:after="120" w:line="276" w:lineRule="auto"/>
        <w:jc w:val="left"/>
      </w:pPr>
      <w:r>
        <w:rPr>
          <w:rFonts w:ascii="Times New Roman" w:hAnsi="Times New Roman"/>
          <w:b/>
          <w:i w:val="0"/>
          <w:color w:val="222222"/>
          <w:sz w:val="20"/>
        </w:rPr>
        <w:t>Advantages:</w:t>
      </w:r>
    </w:p>
    <w:p>
      <w:pPr>
        <w:pStyle w:val="ListBullet"/>
        <w:spacing w:after="40" w:line="276" w:lineRule="auto"/>
      </w:pPr>
      <w:r>
        <w:rPr>
          <w:rFonts w:ascii="Times New Roman" w:hAnsi="Times New Roman"/>
          <w:sz w:val="21"/>
        </w:rPr>
        <w:t>U-Net-family architectures naturally support pixel-level output, making them well suited to region-highlighting/explainability tasks.</w:t>
      </w:r>
    </w:p>
    <w:p>
      <w:pPr>
        <w:pStyle w:val="ListBullet"/>
        <w:spacing w:after="40" w:line="276" w:lineRule="auto"/>
      </w:pPr>
      <w:r>
        <w:rPr>
          <w:rFonts w:ascii="Times New Roman" w:hAnsi="Times New Roman"/>
          <w:sz w:val="21"/>
        </w:rPr>
        <w:t>Strong grounding in psychophysical validation against real human perceptual data.</w:t>
      </w:r>
    </w:p>
    <w:p>
      <w:pPr>
        <w:pStyle w:val="ListBullet"/>
        <w:spacing w:after="40" w:line="276" w:lineRule="auto"/>
      </w:pPr>
      <w:r>
        <w:rPr>
          <w:rFonts w:ascii="Times New Roman" w:hAnsi="Times New Roman"/>
          <w:sz w:val="21"/>
        </w:rPr>
        <w:t>Published in a reputable Springer journal (Applied Intelligence) in 2024.</w:t>
      </w:r>
    </w:p>
    <w:p>
      <w:pPr>
        <w:spacing w:after="120" w:line="276" w:lineRule="auto"/>
        <w:jc w:val="left"/>
      </w:pPr>
      <w:r>
        <w:rPr>
          <w:rFonts w:ascii="Times New Roman" w:hAnsi="Times New Roman"/>
          <w:b/>
          <w:i w:val="0"/>
          <w:color w:val="222222"/>
          <w:sz w:val="20"/>
        </w:rPr>
        <w:t>Disadvantages:</w:t>
      </w:r>
    </w:p>
    <w:p>
      <w:pPr>
        <w:pStyle w:val="ListBullet"/>
        <w:spacing w:after="40" w:line="276" w:lineRule="auto"/>
      </w:pPr>
      <w:r>
        <w:rPr>
          <w:rFonts w:ascii="Times New Roman" w:hAnsi="Times New Roman"/>
          <w:sz w:val="21"/>
        </w:rPr>
        <w:t>Restricted to a single illusion category (brightness/contrast); no geometric, motion or depth illusions considered.</w:t>
      </w:r>
    </w:p>
    <w:p>
      <w:pPr>
        <w:pStyle w:val="ListBullet"/>
        <w:spacing w:after="40" w:line="276" w:lineRule="auto"/>
      </w:pPr>
      <w:r>
        <w:rPr>
          <w:rFonts w:ascii="Times New Roman" w:hAnsi="Times New Roman"/>
          <w:sz w:val="21"/>
        </w:rPr>
        <w:t>No end-user interface, confidence scoring, or illusion-type classification layer.</w:t>
      </w:r>
    </w:p>
    <w:p>
      <w:pPr>
        <w:pStyle w:val="ListBullet"/>
        <w:spacing w:after="40" w:line="276" w:lineRule="auto"/>
      </w:pPr>
      <w:r>
        <w:rPr>
          <w:rFonts w:ascii="Times New Roman" w:hAnsi="Times New Roman"/>
          <w:sz w:val="21"/>
        </w:rPr>
        <w:t>Focused purely on replication of perception rather than automated detection/classification for practical use.</w:t>
      </w:r>
    </w:p>
    <w:p>
      <w:pPr>
        <w:keepNext/>
        <w:spacing w:before="160" w:after="40"/>
      </w:pPr>
      <w:r>
        <w:rPr>
          <w:rFonts w:ascii="Times New Roman" w:hAnsi="Times New Roman"/>
          <w:b/>
          <w:color w:val="2D3748"/>
          <w:sz w:val="23"/>
        </w:rPr>
        <w:t>[4] Quantum-Tunnelling Deep Neural Network for Optical Illusion Recognition</w:t>
      </w:r>
    </w:p>
    <w:p>
      <w:pPr>
        <w:spacing w:after="120" w:line="276" w:lineRule="auto"/>
        <w:jc w:val="left"/>
      </w:pPr>
      <w:r>
        <w:rPr>
          <w:rFonts w:ascii="Times New Roman" w:hAnsi="Times New Roman"/>
          <w:b w:val="0"/>
          <w:i/>
          <w:color w:val="222222"/>
          <w:sz w:val="19"/>
        </w:rPr>
        <w:t>Maksymov, I.S. (2024) — APL Machine Learning, AIP Publishing</w:t>
      </w:r>
    </w:p>
    <w:p>
      <w:pPr>
        <w:spacing w:after="120" w:line="276" w:lineRule="auto"/>
        <w:jc w:val="left"/>
      </w:pPr>
      <w:r>
        <w:rPr>
          <w:rFonts w:ascii="Times New Roman" w:hAnsi="Times New Roman"/>
          <w:b w:val="0"/>
          <w:i w:val="0"/>
          <w:color w:val="222222"/>
          <w:sz w:val="22"/>
        </w:rPr>
        <w:t>Summary of the Paper: This paper introduces QT-DNN, a deep neural network whose activation function is inspired by the quantum-tunnelling effect from physics. The model is tasked with simulating human perception of classic multistable figures — the Necker cube and Rubin's vase — and is shown to reproduce the oscillating, sometimes-ambiguous switching between interpretations that humans experience, unlike conventional DNNs which tend to lock onto a single rigid interpretation.</w:t>
      </w:r>
    </w:p>
    <w:p>
      <w:pPr>
        <w:spacing w:after="120" w:line="276" w:lineRule="auto"/>
        <w:jc w:val="left"/>
      </w:pPr>
      <w:r>
        <w:rPr>
          <w:rFonts w:ascii="Times New Roman" w:hAnsi="Times New Roman"/>
          <w:b w:val="0"/>
          <w:i w:val="0"/>
          <w:color w:val="222222"/>
          <w:sz w:val="22"/>
        </w:rPr>
        <w:t>Algorithm(s) / Technique Used: Quantum-Tunnelling-based activation function within a Deep Neural Network (QT-DNN).</w:t>
      </w:r>
    </w:p>
    <w:p>
      <w:pPr>
        <w:spacing w:after="120" w:line="276" w:lineRule="auto"/>
        <w:jc w:val="left"/>
      </w:pPr>
      <w:r>
        <w:rPr>
          <w:rFonts w:ascii="Times New Roman" w:hAnsi="Times New Roman"/>
          <w:b/>
          <w:i w:val="0"/>
          <w:color w:val="222222"/>
          <w:sz w:val="20"/>
        </w:rPr>
        <w:t>Advantages:</w:t>
      </w:r>
    </w:p>
    <w:p>
      <w:pPr>
        <w:pStyle w:val="ListBullet"/>
        <w:spacing w:after="40" w:line="276" w:lineRule="auto"/>
      </w:pPr>
      <w:r>
        <w:rPr>
          <w:rFonts w:ascii="Times New Roman" w:hAnsi="Times New Roman"/>
          <w:sz w:val="21"/>
        </w:rPr>
        <w:t>Produces human-like ambiguous/oscillating outputs for multistable figures rather than one fixed label.</w:t>
      </w:r>
    </w:p>
    <w:p>
      <w:pPr>
        <w:pStyle w:val="ListBullet"/>
        <w:spacing w:after="40" w:line="276" w:lineRule="auto"/>
      </w:pPr>
      <w:r>
        <w:rPr>
          <w:rFonts w:ascii="Times New Roman" w:hAnsi="Times New Roman"/>
          <w:sz w:val="21"/>
        </w:rPr>
        <w:t>Offers a biologically and cognitively grounded alternative to standard activation functions.</w:t>
      </w:r>
    </w:p>
    <w:p>
      <w:pPr>
        <w:pStyle w:val="ListBullet"/>
        <w:spacing w:after="40" w:line="276" w:lineRule="auto"/>
      </w:pPr>
      <w:r>
        <w:rPr>
          <w:rFonts w:ascii="Times New Roman" w:hAnsi="Times New Roman"/>
          <w:sz w:val="21"/>
        </w:rPr>
        <w:t>Published in a peer-reviewed AIP journal in 2024, with a clear, reproducible mathematical formulation.</w:t>
      </w:r>
    </w:p>
    <w:p>
      <w:pPr>
        <w:spacing w:after="120" w:line="276" w:lineRule="auto"/>
        <w:jc w:val="left"/>
      </w:pPr>
      <w:r>
        <w:rPr>
          <w:rFonts w:ascii="Times New Roman" w:hAnsi="Times New Roman"/>
          <w:b/>
          <w:i w:val="0"/>
          <w:color w:val="222222"/>
          <w:sz w:val="20"/>
        </w:rPr>
        <w:t>Disadvantages:</w:t>
      </w:r>
    </w:p>
    <w:p>
      <w:pPr>
        <w:pStyle w:val="ListBullet"/>
        <w:spacing w:after="40" w:line="276" w:lineRule="auto"/>
      </w:pPr>
      <w:r>
        <w:rPr>
          <w:rFonts w:ascii="Times New Roman" w:hAnsi="Times New Roman"/>
          <w:sz w:val="21"/>
        </w:rPr>
        <w:t>Proof-of-concept scale — tested only on a few classic stimuli (Necker cube, Rubin's vase), not a large labeled dataset.</w:t>
      </w:r>
    </w:p>
    <w:p>
      <w:pPr>
        <w:pStyle w:val="ListBullet"/>
        <w:spacing w:after="40" w:line="276" w:lineRule="auto"/>
      </w:pPr>
      <w:r>
        <w:rPr>
          <w:rFonts w:ascii="Times New Roman" w:hAnsi="Times New Roman"/>
          <w:sz w:val="21"/>
        </w:rPr>
        <w:t>No reported classification accuracy or benchmark comparison against modern CNN/Transformer baselines.</w:t>
      </w:r>
    </w:p>
    <w:p>
      <w:pPr>
        <w:pStyle w:val="ListBullet"/>
        <w:spacing w:after="40" w:line="276" w:lineRule="auto"/>
      </w:pPr>
      <w:r>
        <w:rPr>
          <w:rFonts w:ascii="Times New Roman" w:hAnsi="Times New Roman"/>
          <w:sz w:val="21"/>
        </w:rPr>
        <w:t>Not yet integrated into a deployable detection-and-classification pipeline.</w:t>
      </w:r>
    </w:p>
    <w:p>
      <w:pPr>
        <w:keepNext/>
        <w:spacing w:before="160" w:after="40"/>
      </w:pPr>
      <w:r>
        <w:rPr>
          <w:rFonts w:ascii="Times New Roman" w:hAnsi="Times New Roman"/>
          <w:b/>
          <w:color w:val="2D3748"/>
          <w:sz w:val="23"/>
        </w:rPr>
        <w:t>[5] DeepForgeryNet: A Hybrid CNN–LSTM and Transfer Learning Framework for Robust Image Forgery and Deepfake Detection</w:t>
      </w:r>
    </w:p>
    <w:p>
      <w:pPr>
        <w:spacing w:after="120" w:line="276" w:lineRule="auto"/>
        <w:jc w:val="left"/>
      </w:pPr>
      <w:r>
        <w:rPr>
          <w:rFonts w:ascii="Times New Roman" w:hAnsi="Times New Roman"/>
          <w:b w:val="0"/>
          <w:i/>
          <w:color w:val="222222"/>
          <w:sz w:val="19"/>
        </w:rPr>
        <w:t>DeepForgeryNet Authors (2026) — Frontiers in Artificial Intelligence</w:t>
      </w:r>
    </w:p>
    <w:p>
      <w:pPr>
        <w:spacing w:after="120" w:line="276" w:lineRule="auto"/>
        <w:jc w:val="left"/>
      </w:pPr>
      <w:r>
        <w:rPr>
          <w:rFonts w:ascii="Times New Roman" w:hAnsi="Times New Roman"/>
          <w:b w:val="0"/>
          <w:i w:val="0"/>
          <w:color w:val="222222"/>
          <w:sz w:val="22"/>
        </w:rPr>
        <w:t>Summary of the Paper: This paper presents DeepForgeryNet, an artifact-aware deep learning architecture for detecting digitally manipulated and deepfake images. It combines transfer-learning-based CNN feature extraction with an LSTM to model contextual dependencies between manipulation artifacts, using structured data augmentation to improve generalization across manipulation types and datasets.</w:t>
      </w:r>
    </w:p>
    <w:p>
      <w:pPr>
        <w:spacing w:after="120" w:line="276" w:lineRule="auto"/>
        <w:jc w:val="left"/>
      </w:pPr>
      <w:r>
        <w:rPr>
          <w:rFonts w:ascii="Times New Roman" w:hAnsi="Times New Roman"/>
          <w:b w:val="0"/>
          <w:i w:val="0"/>
          <w:color w:val="222222"/>
          <w:sz w:val="22"/>
        </w:rPr>
        <w:t>Algorithm(s) / Technique Used: Hybrid CNN (transfer learning) + LSTM (Long Short-Term Memory) network.</w:t>
      </w:r>
    </w:p>
    <w:p>
      <w:pPr>
        <w:spacing w:after="120" w:line="276" w:lineRule="auto"/>
        <w:jc w:val="left"/>
      </w:pPr>
      <w:r>
        <w:rPr>
          <w:rFonts w:ascii="Times New Roman" w:hAnsi="Times New Roman"/>
          <w:b/>
          <w:i w:val="0"/>
          <w:color w:val="222222"/>
          <w:sz w:val="20"/>
        </w:rPr>
        <w:t>Advantages:</w:t>
      </w:r>
    </w:p>
    <w:p>
      <w:pPr>
        <w:pStyle w:val="ListBullet"/>
        <w:spacing w:after="40" w:line="276" w:lineRule="auto"/>
      </w:pPr>
      <w:r>
        <w:rPr>
          <w:rFonts w:ascii="Times New Roman" w:hAnsi="Times New Roman"/>
          <w:sz w:val="21"/>
        </w:rPr>
        <w:t>Jointly captures low-level artifact traces and high-level contextual inconsistencies, improving robustness across manipulation types.</w:t>
      </w:r>
    </w:p>
    <w:p>
      <w:pPr>
        <w:pStyle w:val="ListBullet"/>
        <w:spacing w:after="40" w:line="276" w:lineRule="auto"/>
      </w:pPr>
      <w:r>
        <w:rPr>
          <w:rFonts w:ascii="Times New Roman" w:hAnsi="Times New Roman"/>
          <w:sz w:val="21"/>
        </w:rPr>
        <w:t>Uses transfer learning, reducing the amount of training data required.</w:t>
      </w:r>
    </w:p>
    <w:p>
      <w:pPr>
        <w:pStyle w:val="ListBullet"/>
        <w:spacing w:after="40" w:line="276" w:lineRule="auto"/>
      </w:pPr>
      <w:r>
        <w:rPr>
          <w:rFonts w:ascii="Times New Roman" w:hAnsi="Times New Roman"/>
          <w:sz w:val="21"/>
        </w:rPr>
        <w:t>Recent (2026) and directly relevant to distinguishing digitally manipulated images from naturally occurring ones.</w:t>
      </w:r>
    </w:p>
    <w:p>
      <w:pPr>
        <w:spacing w:after="120" w:line="276" w:lineRule="auto"/>
        <w:jc w:val="left"/>
      </w:pPr>
      <w:r>
        <w:rPr>
          <w:rFonts w:ascii="Times New Roman" w:hAnsi="Times New Roman"/>
          <w:b/>
          <w:i w:val="0"/>
          <w:color w:val="222222"/>
          <w:sz w:val="20"/>
        </w:rPr>
        <w:t>Disadvantages:</w:t>
      </w:r>
    </w:p>
    <w:p>
      <w:pPr>
        <w:pStyle w:val="ListBullet"/>
        <w:spacing w:after="40" w:line="276" w:lineRule="auto"/>
      </w:pPr>
      <w:r>
        <w:rPr>
          <w:rFonts w:ascii="Times New Roman" w:hAnsi="Times New Roman"/>
          <w:sz w:val="21"/>
        </w:rPr>
        <w:t>CNN + LSTM combination is computationally heavier than single-branch CNN detectors, affecting real-time use.</w:t>
      </w:r>
    </w:p>
    <w:p>
      <w:pPr>
        <w:pStyle w:val="ListBullet"/>
        <w:spacing w:after="40" w:line="276" w:lineRule="auto"/>
      </w:pPr>
      <w:r>
        <w:rPr>
          <w:rFonts w:ascii="Times New Roman" w:hAnsi="Times New Roman"/>
          <w:sz w:val="21"/>
        </w:rPr>
        <w:t>Designed for malicious manipulation/deepfakes, not for naturally occurring optical illusions or ambiguous figures.</w:t>
      </w:r>
    </w:p>
    <w:p>
      <w:pPr>
        <w:pStyle w:val="ListBullet"/>
        <w:spacing w:after="40" w:line="276" w:lineRule="auto"/>
      </w:pPr>
      <w:r>
        <w:rPr>
          <w:rFonts w:ascii="Times New Roman" w:hAnsi="Times New Roman"/>
          <w:sz w:val="21"/>
        </w:rPr>
        <w:t>No mechanism to distinguish an intentionally deceptive manipulation from a naturally ambiguous/illusory image.</w:t>
      </w:r>
    </w:p>
    <w:p>
      <w:pPr>
        <w:keepNext/>
        <w:spacing w:before="200" w:after="60"/>
      </w:pPr>
      <w:r>
        <w:rPr>
          <w:rFonts w:ascii="Times New Roman" w:hAnsi="Times New Roman"/>
          <w:b/>
          <w:color w:val="1B365D"/>
          <w:sz w:val="26"/>
        </w:rPr>
        <w:t>1.4 Existing System</w:t>
      </w:r>
    </w:p>
    <w:p>
      <w:pPr>
        <w:spacing w:after="120" w:line="276" w:lineRule="auto"/>
        <w:jc w:val="left"/>
      </w:pPr>
      <w:r>
        <w:rPr>
          <w:rFonts w:ascii="Times New Roman" w:hAnsi="Times New Roman"/>
          <w:b w:val="0"/>
          <w:i w:val="0"/>
          <w:color w:val="222222"/>
          <w:sz w:val="22"/>
        </w:rPr>
        <w:t>Existing work in this space is fragmented across three separate research threads that Perception-X aims to unify. First, illusion-focused benchmarks such as IllusionVQA test large Vision-Language Models on comprehension and localization but do not provide a lightweight, deployable classifier or an explanation-generation layer. Second, illusion-replication studies (the brightness-illusion work using CNN/Autoencoder/U-Net/U-Net++, and the multi-modal CNN+GNN recognition model) focus on a narrow illusion category or lack pixel-level explainability and confidence scoring suitable for an end-user web application. Third, the quantum-tunnelling DNN offers a promising bio-inspired mechanism for representing ambiguous, multistable perception but remains a proof-of-concept, untested at dataset scale. Separately, image-forgery and deepfake detection research (e.g., DeepForgeryNet) has matured for detecting malicious manipulation but is not designed to recognize naturally occurring optical illusions, and no existing system combines illusion detection with manipulation detection in a single, explainable, confidence-scored pipeline.</w:t>
      </w:r>
    </w:p>
    <w:p>
      <w:pPr>
        <w:keepNext/>
        <w:spacing w:before="200" w:after="60"/>
      </w:pPr>
      <w:r>
        <w:rPr>
          <w:rFonts w:ascii="Times New Roman" w:hAnsi="Times New Roman"/>
          <w:b/>
          <w:color w:val="1B365D"/>
          <w:sz w:val="26"/>
        </w:rPr>
        <w:t>1.5 Proposed System</w:t>
      </w:r>
    </w:p>
    <w:p>
      <w:pPr>
        <w:spacing w:after="120" w:line="276" w:lineRule="auto"/>
        <w:jc w:val="left"/>
      </w:pPr>
      <w:r>
        <w:rPr>
          <w:rFonts w:ascii="Times New Roman" w:hAnsi="Times New Roman"/>
          <w:b w:val="0"/>
          <w:i w:val="0"/>
          <w:color w:val="222222"/>
          <w:sz w:val="22"/>
        </w:rPr>
        <w:t>Perception-X proposes a unified AI-based pipeline that (1) detects whether an input image contains an ambiguous or illusory pattern, (2) classifies the specific illusion category (geometric, color and brightness, size, perspective and depth, motion, ambiguous figures, impossible objects, or normal image), (3) highlights the responsible image region using explainable-AI techniques such as Grad-CAM, (4) generates a human-readable explanation of the perceptual effect, (5) reports a confidence score for every prediction, and (6) optionally flags images that are digitally manipulated rather than naturally illusory. This directly addresses the research gaps identified across the five reviewed papers — combining VLM-level comprehension, CNN/U-Net-based pixel-level localization, bio-inspired handling of genuine ambiguity, and forgery-awareness in one accessible web-based system.</w:t>
      </w:r>
    </w:p>
    <w:p>
      <w:pPr>
        <w:keepNext/>
        <w:spacing w:before="200" w:after="60"/>
      </w:pPr>
      <w:r>
        <w:rPr>
          <w:rFonts w:ascii="Times New Roman" w:hAnsi="Times New Roman"/>
          <w:b/>
          <w:color w:val="1B365D"/>
          <w:sz w:val="26"/>
        </w:rPr>
        <w:t>1.6 Objectives of the Project (Mapped to Reviewed Papers)</w:t>
      </w:r>
    </w:p>
    <w:p>
      <w:pPr>
        <w:spacing w:after="120" w:line="276" w:lineRule="auto"/>
        <w:jc w:val="left"/>
      </w:pPr>
      <w:r>
        <w:rPr>
          <w:rFonts w:ascii="Times New Roman" w:hAnsi="Times New Roman"/>
          <w:b/>
          <w:i w:val="0"/>
          <w:color w:val="222222"/>
          <w:sz w:val="22"/>
        </w:rPr>
        <w:t>Objective 1: Detect and classify the type of ambiguous/optical illusion image with high accuracy using a fused visual-contextual deep learning model.</w:t>
      </w:r>
    </w:p>
    <w:p>
      <w:pPr>
        <w:spacing w:after="120" w:line="276" w:lineRule="auto"/>
        <w:jc w:val="left"/>
      </w:pPr>
      <w:r>
        <w:rPr>
          <w:rFonts w:ascii="Times New Roman" w:hAnsi="Times New Roman"/>
          <w:b w:val="0"/>
          <w:i w:val="0"/>
          <w:color w:val="222222"/>
          <w:sz w:val="22"/>
        </w:rPr>
        <w:t>Mapped Reference Paper: [2] Leong, W.Y. (2024) — A Multi-Modal Deep Learning Approach for Enhanced Optical Illusion Recognition, IEEE WTA 2024.</w:t>
        <w:br/>
        <w:t>This objective adopts the paper's CNN + Graph Neural Network fusion strategy for extracting and contextualizing visual features, but extends it with a lighter-weight backbone (transfer learning on ResNet/EfficientNet) suitable for real-time web inference, addressing the original paper's computational-overhead limitation.</w:t>
      </w:r>
    </w:p>
    <w:p>
      <w:pPr>
        <w:spacing w:after="120" w:line="276" w:lineRule="auto"/>
        <w:jc w:val="left"/>
      </w:pPr>
      <w:r>
        <w:rPr>
          <w:rFonts w:ascii="Times New Roman" w:hAnsi="Times New Roman"/>
          <w:b/>
          <w:i w:val="0"/>
          <w:color w:val="222222"/>
          <w:sz w:val="22"/>
        </w:rPr>
        <w:t>Objective 2: Localize and visually explain the region responsible for the illusion, and generate a plain-language explanation with a confidence score.</w:t>
      </w:r>
    </w:p>
    <w:p>
      <w:pPr>
        <w:spacing w:after="120" w:line="276" w:lineRule="auto"/>
        <w:jc w:val="left"/>
      </w:pPr>
      <w:r>
        <w:rPr>
          <w:rFonts w:ascii="Times New Roman" w:hAnsi="Times New Roman"/>
          <w:b w:val="0"/>
          <w:i w:val="0"/>
          <w:color w:val="222222"/>
          <w:sz w:val="22"/>
        </w:rPr>
        <w:t>Mapped Reference Paper: [3] Mukherjee, A.; Paul, A.; Ghosh, K. (2024) — Deep Learning Models for Perception of Brightness Related Illusions, Applied Intelligence (Springer).</w:t>
        <w:br/>
        <w:t>Building on the paper's use of U-Net / U-Net++ encoder-decoder architectures — which naturally produce pixel-level outputs — this objective adapts the same architectural family (combined with Grad-CAM-style saliency mapping) to generate region-highlighting overlays and confidence scores across all illusion categories, not just brightness illusions.</w:t>
      </w:r>
    </w:p>
    <w:p>
      <w:pPr>
        <w:spacing w:after="120" w:line="276" w:lineRule="auto"/>
        <w:jc w:val="left"/>
      </w:pPr>
      <w:r>
        <w:rPr>
          <w:rFonts w:ascii="Times New Roman" w:hAnsi="Times New Roman"/>
          <w:b/>
          <w:i w:val="0"/>
          <w:color w:val="222222"/>
          <w:sz w:val="22"/>
        </w:rPr>
        <w:t>Objective 3: Benchmark and validate system comprehension of ambiguous images against human-level performance, and handle genuinely multistable figures gracefully rather than forcing a single rigid label.</w:t>
      </w:r>
    </w:p>
    <w:p>
      <w:pPr>
        <w:spacing w:after="120" w:line="276" w:lineRule="auto"/>
        <w:jc w:val="left"/>
      </w:pPr>
      <w:r>
        <w:rPr>
          <w:rFonts w:ascii="Times New Roman" w:hAnsi="Times New Roman"/>
          <w:b w:val="0"/>
          <w:i w:val="0"/>
          <w:color w:val="222222"/>
          <w:sz w:val="22"/>
        </w:rPr>
        <w:t>Mapped Reference Paper: [1] Shahgir et al. (2024) — IllusionVQA: A Challenging Optical Illusion Dataset for Vision Language Models, COLM 2024.</w:t>
        <w:br/>
        <w:t>This objective reuses the paper's comprehension/localization multiple-choice evaluation protocol as a validation benchmark for Perception-X, while incorporating an ambiguity-aware output (inspired by the quantum-tunnelling DNN concept in [4] Maksymov, 2024) so that genuinely multistable figures can be reported with split confidence rather than a forced single-class decision.</w:t>
      </w:r>
    </w:p>
    <w:p>
      <w:pPr>
        <w:keepNext/>
        <w:spacing w:before="200" w:after="60"/>
      </w:pPr>
      <w:r>
        <w:rPr>
          <w:rFonts w:ascii="Times New Roman" w:hAnsi="Times New Roman"/>
          <w:b/>
          <w:color w:val="1B365D"/>
          <w:sz w:val="26"/>
        </w:rPr>
        <w:t>1.7 Literature Review Table (Table 1.1)</w:t>
      </w:r>
    </w:p>
    <w:p>
      <w:pPr>
        <w:spacing w:after="120" w:line="276" w:lineRule="auto"/>
        <w:jc w:val="left"/>
      </w:pPr>
      <w:r>
        <w:rPr>
          <w:rFonts w:ascii="Times New Roman" w:hAnsi="Times New Roman"/>
          <w:b w:val="0"/>
          <w:i/>
          <w:color w:val="222222"/>
          <w:sz w:val="22"/>
        </w:rPr>
        <w:t>Table 1.1: Literature Review Summary across 12 Comparison Parameters</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0A2540"/>
          </w:tcPr>
          <w:p>
            <w:pPr>
              <w:spacing w:before="40" w:after="40"/>
            </w:pPr>
            <w:r>
              <w:rPr>
                <w:rFonts w:ascii="Times New Roman" w:hAnsi="Times New Roman"/>
                <w:b/>
                <w:color w:val="FFFFFF"/>
                <w:sz w:val="16"/>
              </w:rPr>
              <w:t>Sl.</w:t>
            </w:r>
          </w:p>
        </w:tc>
        <w:tc>
          <w:tcPr>
            <w:tcW w:type="dxa" w:w="780"/>
            <w:shd w:fill="0A2540"/>
          </w:tcPr>
          <w:p>
            <w:pPr>
              <w:spacing w:before="40" w:after="40"/>
            </w:pPr>
            <w:r>
              <w:rPr>
                <w:rFonts w:ascii="Times New Roman" w:hAnsi="Times New Roman"/>
                <w:b/>
                <w:color w:val="FFFFFF"/>
                <w:sz w:val="16"/>
              </w:rPr>
              <w:t>Year</w:t>
            </w:r>
          </w:p>
        </w:tc>
        <w:tc>
          <w:tcPr>
            <w:tcW w:type="dxa" w:w="780"/>
            <w:shd w:fill="0A2540"/>
          </w:tcPr>
          <w:p>
            <w:pPr>
              <w:spacing w:before="40" w:after="40"/>
            </w:pPr>
            <w:r>
              <w:rPr>
                <w:rFonts w:ascii="Times New Roman" w:hAnsi="Times New Roman"/>
                <w:b/>
                <w:color w:val="FFFFFF"/>
                <w:sz w:val="16"/>
              </w:rPr>
              <w:t>Authors</w:t>
            </w:r>
          </w:p>
        </w:tc>
        <w:tc>
          <w:tcPr>
            <w:tcW w:type="dxa" w:w="780"/>
            <w:shd w:fill="0A2540"/>
          </w:tcPr>
          <w:p>
            <w:pPr>
              <w:spacing w:before="40" w:after="40"/>
            </w:pPr>
            <w:r>
              <w:rPr>
                <w:rFonts w:ascii="Times New Roman" w:hAnsi="Times New Roman"/>
                <w:b/>
                <w:color w:val="FFFFFF"/>
                <w:sz w:val="16"/>
              </w:rPr>
              <w:t>Paper Title</w:t>
            </w:r>
          </w:p>
        </w:tc>
        <w:tc>
          <w:tcPr>
            <w:tcW w:type="dxa" w:w="780"/>
            <w:shd w:fill="0A2540"/>
          </w:tcPr>
          <w:p>
            <w:pPr>
              <w:spacing w:before="40" w:after="40"/>
            </w:pPr>
            <w:r>
              <w:rPr>
                <w:rFonts w:ascii="Times New Roman" w:hAnsi="Times New Roman"/>
                <w:b/>
                <w:color w:val="FFFFFF"/>
                <w:sz w:val="16"/>
              </w:rPr>
              <w:t>Venue</w:t>
            </w:r>
          </w:p>
        </w:tc>
        <w:tc>
          <w:tcPr>
            <w:tcW w:type="dxa" w:w="780"/>
            <w:shd w:fill="0A2540"/>
          </w:tcPr>
          <w:p>
            <w:pPr>
              <w:spacing w:before="40" w:after="40"/>
            </w:pPr>
            <w:r>
              <w:rPr>
                <w:rFonts w:ascii="Times New Roman" w:hAnsi="Times New Roman"/>
                <w:b/>
                <w:color w:val="FFFFFF"/>
                <w:sz w:val="16"/>
              </w:rPr>
              <w:t>Research Focus</w:t>
            </w:r>
          </w:p>
        </w:tc>
        <w:tc>
          <w:tcPr>
            <w:tcW w:type="dxa" w:w="780"/>
            <w:shd w:fill="0A2540"/>
          </w:tcPr>
          <w:p>
            <w:pPr>
              <w:spacing w:before="40" w:after="40"/>
            </w:pPr>
            <w:r>
              <w:rPr>
                <w:rFonts w:ascii="Times New Roman" w:hAnsi="Times New Roman"/>
                <w:b/>
                <w:color w:val="FFFFFF"/>
                <w:sz w:val="16"/>
              </w:rPr>
              <w:t>Methodology</w:t>
            </w:r>
          </w:p>
        </w:tc>
        <w:tc>
          <w:tcPr>
            <w:tcW w:type="dxa" w:w="780"/>
            <w:shd w:fill="0A2540"/>
          </w:tcPr>
          <w:p>
            <w:pPr>
              <w:spacing w:before="40" w:after="40"/>
            </w:pPr>
            <w:r>
              <w:rPr>
                <w:rFonts w:ascii="Times New Roman" w:hAnsi="Times New Roman"/>
                <w:b/>
                <w:color w:val="FFFFFF"/>
                <w:sz w:val="16"/>
              </w:rPr>
              <w:t>Key Contribution</w:t>
            </w:r>
          </w:p>
        </w:tc>
        <w:tc>
          <w:tcPr>
            <w:tcW w:type="dxa" w:w="780"/>
            <w:shd w:fill="0A2540"/>
          </w:tcPr>
          <w:p>
            <w:pPr>
              <w:spacing w:before="40" w:after="40"/>
            </w:pPr>
            <w:r>
              <w:rPr>
                <w:rFonts w:ascii="Times New Roman" w:hAnsi="Times New Roman"/>
                <w:b/>
                <w:color w:val="FFFFFF"/>
                <w:sz w:val="16"/>
              </w:rPr>
              <w:t>Dataset</w:t>
            </w:r>
          </w:p>
        </w:tc>
        <w:tc>
          <w:tcPr>
            <w:tcW w:type="dxa" w:w="780"/>
            <w:shd w:fill="0A2540"/>
          </w:tcPr>
          <w:p>
            <w:pPr>
              <w:spacing w:before="40" w:after="40"/>
            </w:pPr>
            <w:r>
              <w:rPr>
                <w:rFonts w:ascii="Times New Roman" w:hAnsi="Times New Roman"/>
                <w:b/>
                <w:color w:val="FFFFFF"/>
                <w:sz w:val="16"/>
              </w:rPr>
              <w:t>Limitations</w:t>
            </w:r>
          </w:p>
        </w:tc>
        <w:tc>
          <w:tcPr>
            <w:tcW w:type="dxa" w:w="780"/>
            <w:shd w:fill="0A2540"/>
          </w:tcPr>
          <w:p>
            <w:pPr>
              <w:spacing w:before="40" w:after="40"/>
            </w:pPr>
            <w:r>
              <w:rPr>
                <w:rFonts w:ascii="Times New Roman" w:hAnsi="Times New Roman"/>
                <w:b/>
                <w:color w:val="FFFFFF"/>
                <w:sz w:val="16"/>
              </w:rPr>
              <w:t>Research Gap Found</w:t>
            </w:r>
          </w:p>
        </w:tc>
        <w:tc>
          <w:tcPr>
            <w:tcW w:type="dxa" w:w="780"/>
            <w:shd w:fill="0A2540"/>
          </w:tcPr>
          <w:p>
            <w:pPr>
              <w:spacing w:before="40" w:after="40"/>
            </w:pPr>
            <w:r>
              <w:rPr>
                <w:rFonts w:ascii="Times New Roman" w:hAnsi="Times New Roman"/>
                <w:b/>
                <w:color w:val="FFFFFF"/>
                <w:sz w:val="16"/>
              </w:rPr>
              <w:t>DOI / Link</w:t>
            </w:r>
          </w:p>
        </w:tc>
      </w:tr>
      <w:tr>
        <w:tc>
          <w:tcPr>
            <w:tcW w:type="dxa" w:w="780"/>
            <w:shd w:fill="FFFFFF"/>
          </w:tcPr>
          <w:p>
            <w:pPr>
              <w:spacing w:before="30" w:after="30"/>
            </w:pPr>
            <w:r>
              <w:rPr>
                <w:rFonts w:ascii="Times New Roman" w:hAnsi="Times New Roman"/>
                <w:sz w:val="15"/>
              </w:rPr>
              <w:t>1</w:t>
            </w:r>
          </w:p>
        </w:tc>
        <w:tc>
          <w:tcPr>
            <w:tcW w:type="dxa" w:w="780"/>
            <w:shd w:fill="FFFFFF"/>
          </w:tcPr>
          <w:p>
            <w:pPr>
              <w:spacing w:before="30" w:after="30"/>
            </w:pPr>
            <w:r>
              <w:rPr>
                <w:rFonts w:ascii="Times New Roman" w:hAnsi="Times New Roman"/>
                <w:sz w:val="15"/>
              </w:rPr>
              <w:t>2024</w:t>
            </w:r>
          </w:p>
        </w:tc>
        <w:tc>
          <w:tcPr>
            <w:tcW w:type="dxa" w:w="780"/>
            <w:shd w:fill="FFFFFF"/>
          </w:tcPr>
          <w:p>
            <w:pPr>
              <w:spacing w:before="30" w:after="30"/>
            </w:pPr>
            <w:r>
              <w:rPr>
                <w:rFonts w:ascii="Times New Roman" w:hAnsi="Times New Roman"/>
                <w:sz w:val="15"/>
              </w:rPr>
              <w:t>Shahgir et al.</w:t>
            </w:r>
          </w:p>
        </w:tc>
        <w:tc>
          <w:tcPr>
            <w:tcW w:type="dxa" w:w="780"/>
            <w:shd w:fill="FFFFFF"/>
          </w:tcPr>
          <w:p>
            <w:pPr>
              <w:spacing w:before="30" w:after="30"/>
            </w:pPr>
            <w:r>
              <w:rPr>
                <w:rFonts w:ascii="Times New Roman" w:hAnsi="Times New Roman"/>
                <w:sz w:val="15"/>
              </w:rPr>
              <w:t>IllusionVQA: Optical Illusion Dataset for VLMs</w:t>
            </w:r>
          </w:p>
        </w:tc>
        <w:tc>
          <w:tcPr>
            <w:tcW w:type="dxa" w:w="780"/>
            <w:shd w:fill="FFFFFF"/>
          </w:tcPr>
          <w:p>
            <w:pPr>
              <w:spacing w:before="30" w:after="30"/>
            </w:pPr>
            <w:r>
              <w:rPr>
                <w:rFonts w:ascii="Times New Roman" w:hAnsi="Times New Roman"/>
                <w:sz w:val="15"/>
              </w:rPr>
              <w:t>COLM 2024</w:t>
            </w:r>
          </w:p>
        </w:tc>
        <w:tc>
          <w:tcPr>
            <w:tcW w:type="dxa" w:w="780"/>
            <w:shd w:fill="FFFFFF"/>
          </w:tcPr>
          <w:p>
            <w:pPr>
              <w:spacing w:before="30" w:after="30"/>
            </w:pPr>
            <w:r>
              <w:rPr>
                <w:rFonts w:ascii="Times New Roman" w:hAnsi="Times New Roman"/>
                <w:sz w:val="15"/>
              </w:rPr>
              <w:t>Benchmarking VLM comprehension &amp; localization</w:t>
            </w:r>
          </w:p>
        </w:tc>
        <w:tc>
          <w:tcPr>
            <w:tcW w:type="dxa" w:w="780"/>
            <w:shd w:fill="FFFFFF"/>
          </w:tcPr>
          <w:p>
            <w:pPr>
              <w:spacing w:before="30" w:after="30"/>
            </w:pPr>
            <w:r>
              <w:rPr>
                <w:rFonts w:ascii="Times New Roman" w:hAnsi="Times New Roman"/>
                <w:sz w:val="15"/>
              </w:rPr>
              <w:t>Curated VQA dataset; evaluated GPT-4V with few-shot CoT</w:t>
            </w:r>
          </w:p>
        </w:tc>
        <w:tc>
          <w:tcPr>
            <w:tcW w:type="dxa" w:w="780"/>
            <w:shd w:fill="FFFFFF"/>
          </w:tcPr>
          <w:p>
            <w:pPr>
              <w:spacing w:before="30" w:after="30"/>
            </w:pPr>
            <w:r>
              <w:rPr>
                <w:rFonts w:ascii="Times New Roman" w:hAnsi="Times New Roman"/>
                <w:sz w:val="15"/>
              </w:rPr>
              <w:t>Showed VLMs lag well behind human accuracy</w:t>
            </w:r>
          </w:p>
        </w:tc>
        <w:tc>
          <w:tcPr>
            <w:tcW w:type="dxa" w:w="780"/>
            <w:shd w:fill="FFFFFF"/>
          </w:tcPr>
          <w:p>
            <w:pPr>
              <w:spacing w:before="30" w:after="30"/>
            </w:pPr>
            <w:r>
              <w:rPr>
                <w:rFonts w:ascii="Times New Roman" w:hAnsi="Times New Roman"/>
                <w:sz w:val="15"/>
              </w:rPr>
              <w:t>IllusionVQA (686 Q&amp;A)</w:t>
            </w:r>
          </w:p>
        </w:tc>
        <w:tc>
          <w:tcPr>
            <w:tcW w:type="dxa" w:w="780"/>
            <w:shd w:fill="FFFFFF"/>
          </w:tcPr>
          <w:p>
            <w:pPr>
              <w:spacing w:before="30" w:after="30"/>
            </w:pPr>
            <w:r>
              <w:rPr>
                <w:rFonts w:ascii="Times New Roman" w:hAnsi="Times New Roman"/>
                <w:sz w:val="15"/>
              </w:rPr>
              <w:t>No pixel-level explainability; mislocalization</w:t>
            </w:r>
          </w:p>
        </w:tc>
        <w:tc>
          <w:tcPr>
            <w:tcW w:type="dxa" w:w="780"/>
            <w:shd w:fill="FFFFFF"/>
          </w:tcPr>
          <w:p>
            <w:pPr>
              <w:spacing w:before="30" w:after="30"/>
            </w:pPr>
            <w:r>
              <w:rPr>
                <w:rFonts w:ascii="Times New Roman" w:hAnsi="Times New Roman"/>
                <w:sz w:val="15"/>
              </w:rPr>
              <w:t>No end-to-end pipeline with causal heatmaps</w:t>
            </w:r>
          </w:p>
        </w:tc>
        <w:tc>
          <w:tcPr>
            <w:tcW w:type="dxa" w:w="780"/>
            <w:shd w:fill="FFFFFF"/>
          </w:tcPr>
          <w:p>
            <w:pPr>
              <w:spacing w:before="30" w:after="30"/>
            </w:pPr>
            <w:r>
              <w:rPr>
                <w:rFonts w:ascii="Times New Roman" w:hAnsi="Times New Roman"/>
                <w:sz w:val="15"/>
              </w:rPr>
              <w:t>arXiv:2403.15952</w:t>
            </w:r>
          </w:p>
        </w:tc>
      </w:tr>
      <w:tr>
        <w:tc>
          <w:tcPr>
            <w:tcW w:type="dxa" w:w="780"/>
            <w:shd w:fill="F7FAFC"/>
          </w:tcPr>
          <w:p>
            <w:pPr>
              <w:spacing w:before="30" w:after="30"/>
            </w:pPr>
            <w:r>
              <w:rPr>
                <w:rFonts w:ascii="Times New Roman" w:hAnsi="Times New Roman"/>
                <w:sz w:val="15"/>
              </w:rPr>
              <w:t>2</w:t>
            </w:r>
          </w:p>
        </w:tc>
        <w:tc>
          <w:tcPr>
            <w:tcW w:type="dxa" w:w="780"/>
            <w:shd w:fill="F7FAFC"/>
          </w:tcPr>
          <w:p>
            <w:pPr>
              <w:spacing w:before="30" w:after="30"/>
            </w:pPr>
            <w:r>
              <w:rPr>
                <w:rFonts w:ascii="Times New Roman" w:hAnsi="Times New Roman"/>
                <w:sz w:val="15"/>
              </w:rPr>
              <w:t>2024</w:t>
            </w:r>
          </w:p>
        </w:tc>
        <w:tc>
          <w:tcPr>
            <w:tcW w:type="dxa" w:w="780"/>
            <w:shd w:fill="F7FAFC"/>
          </w:tcPr>
          <w:p>
            <w:pPr>
              <w:spacing w:before="30" w:after="30"/>
            </w:pPr>
            <w:r>
              <w:rPr>
                <w:rFonts w:ascii="Times New Roman" w:hAnsi="Times New Roman"/>
                <w:sz w:val="15"/>
              </w:rPr>
              <w:t>Leong, W.Y.</w:t>
            </w:r>
          </w:p>
        </w:tc>
        <w:tc>
          <w:tcPr>
            <w:tcW w:type="dxa" w:w="780"/>
            <w:shd w:fill="F7FAFC"/>
          </w:tcPr>
          <w:p>
            <w:pPr>
              <w:spacing w:before="30" w:after="30"/>
            </w:pPr>
            <w:r>
              <w:rPr>
                <w:rFonts w:ascii="Times New Roman" w:hAnsi="Times New Roman"/>
                <w:sz w:val="15"/>
              </w:rPr>
              <w:t>Multi-Modal Deep Learning Illusion Recognition</w:t>
            </w:r>
          </w:p>
        </w:tc>
        <w:tc>
          <w:tcPr>
            <w:tcW w:type="dxa" w:w="780"/>
            <w:shd w:fill="F7FAFC"/>
          </w:tcPr>
          <w:p>
            <w:pPr>
              <w:spacing w:before="30" w:after="30"/>
            </w:pPr>
            <w:r>
              <w:rPr>
                <w:rFonts w:ascii="Times New Roman" w:hAnsi="Times New Roman"/>
                <w:sz w:val="15"/>
              </w:rPr>
              <w:t>IEEE ISWTA 2024</w:t>
            </w:r>
          </w:p>
        </w:tc>
        <w:tc>
          <w:tcPr>
            <w:tcW w:type="dxa" w:w="780"/>
            <w:shd w:fill="F7FAFC"/>
          </w:tcPr>
          <w:p>
            <w:pPr>
              <w:spacing w:before="30" w:after="30"/>
            </w:pPr>
            <w:r>
              <w:rPr>
                <w:rFonts w:ascii="Times New Roman" w:hAnsi="Times New Roman"/>
                <w:sz w:val="15"/>
              </w:rPr>
              <w:t>Improving recognition by fusing visual &amp; contextual cues</w:t>
            </w:r>
          </w:p>
        </w:tc>
        <w:tc>
          <w:tcPr>
            <w:tcW w:type="dxa" w:w="780"/>
            <w:shd w:fill="F7FAFC"/>
          </w:tcPr>
          <w:p>
            <w:pPr>
              <w:spacing w:before="30" w:after="30"/>
            </w:pPr>
            <w:r>
              <w:rPr>
                <w:rFonts w:ascii="Times New Roman" w:hAnsi="Times New Roman"/>
                <w:sz w:val="15"/>
              </w:rPr>
              <w:t>CNN visual extractor + Graph Neural Network fusion</w:t>
            </w:r>
          </w:p>
        </w:tc>
        <w:tc>
          <w:tcPr>
            <w:tcW w:type="dxa" w:w="780"/>
            <w:shd w:fill="F7FAFC"/>
          </w:tcPr>
          <w:p>
            <w:pPr>
              <w:spacing w:before="30" w:after="30"/>
            </w:pPr>
            <w:r>
              <w:rPr>
                <w:rFonts w:ascii="Times New Roman" w:hAnsi="Times New Roman"/>
                <w:sz w:val="15"/>
              </w:rPr>
              <w:t>Visual + graph reasoning improves accuracy</w:t>
            </w:r>
          </w:p>
        </w:tc>
        <w:tc>
          <w:tcPr>
            <w:tcW w:type="dxa" w:w="780"/>
            <w:shd w:fill="F7FAFC"/>
          </w:tcPr>
          <w:p>
            <w:pPr>
              <w:spacing w:before="30" w:after="30"/>
            </w:pPr>
            <w:r>
              <w:rPr>
                <w:rFonts w:ascii="Times New Roman" w:hAnsi="Times New Roman"/>
                <w:sz w:val="15"/>
              </w:rPr>
              <w:t>Mixed illusion corpus</w:t>
            </w:r>
          </w:p>
        </w:tc>
        <w:tc>
          <w:tcPr>
            <w:tcW w:type="dxa" w:w="780"/>
            <w:shd w:fill="F7FAFC"/>
          </w:tcPr>
          <w:p>
            <w:pPr>
              <w:spacing w:before="30" w:after="30"/>
            </w:pPr>
            <w:r>
              <w:rPr>
                <w:rFonts w:ascii="Times New Roman" w:hAnsi="Times New Roman"/>
                <w:sz w:val="15"/>
              </w:rPr>
              <w:t>High computational cost; no heatmaps</w:t>
            </w:r>
          </w:p>
        </w:tc>
        <w:tc>
          <w:tcPr>
            <w:tcW w:type="dxa" w:w="780"/>
            <w:shd w:fill="F7FAFC"/>
          </w:tcPr>
          <w:p>
            <w:pPr>
              <w:spacing w:before="30" w:after="30"/>
            </w:pPr>
            <w:r>
              <w:rPr>
                <w:rFonts w:ascii="Times New Roman" w:hAnsi="Times New Roman"/>
                <w:sz w:val="15"/>
              </w:rPr>
              <w:t>Lacks lightweight explainable web model</w:t>
            </w:r>
          </w:p>
        </w:tc>
        <w:tc>
          <w:tcPr>
            <w:tcW w:type="dxa" w:w="780"/>
            <w:shd w:fill="F7FAFC"/>
          </w:tcPr>
          <w:p>
            <w:pPr>
              <w:spacing w:before="30" w:after="30"/>
            </w:pPr>
            <w:r>
              <w:rPr>
                <w:rFonts w:ascii="Times New Roman" w:hAnsi="Times New Roman"/>
                <w:sz w:val="15"/>
              </w:rPr>
              <w:t>10.1109/ISWTA (Doc 10698939)</w:t>
            </w:r>
          </w:p>
        </w:tc>
      </w:tr>
      <w:tr>
        <w:tc>
          <w:tcPr>
            <w:tcW w:type="dxa" w:w="780"/>
            <w:shd w:fill="FFFFFF"/>
          </w:tcPr>
          <w:p>
            <w:pPr>
              <w:spacing w:before="30" w:after="30"/>
            </w:pPr>
            <w:r>
              <w:rPr>
                <w:rFonts w:ascii="Times New Roman" w:hAnsi="Times New Roman"/>
                <w:sz w:val="15"/>
              </w:rPr>
              <w:t>3</w:t>
            </w:r>
          </w:p>
        </w:tc>
        <w:tc>
          <w:tcPr>
            <w:tcW w:type="dxa" w:w="780"/>
            <w:shd w:fill="FFFFFF"/>
          </w:tcPr>
          <w:p>
            <w:pPr>
              <w:spacing w:before="30" w:after="30"/>
            </w:pPr>
            <w:r>
              <w:rPr>
                <w:rFonts w:ascii="Times New Roman" w:hAnsi="Times New Roman"/>
                <w:sz w:val="15"/>
              </w:rPr>
              <w:t>2024</w:t>
            </w:r>
          </w:p>
        </w:tc>
        <w:tc>
          <w:tcPr>
            <w:tcW w:type="dxa" w:w="780"/>
            <w:shd w:fill="FFFFFF"/>
          </w:tcPr>
          <w:p>
            <w:pPr>
              <w:spacing w:before="30" w:after="30"/>
            </w:pPr>
            <w:r>
              <w:rPr>
                <w:rFonts w:ascii="Times New Roman" w:hAnsi="Times New Roman"/>
                <w:sz w:val="15"/>
              </w:rPr>
              <w:t>Mukherjee et al.</w:t>
            </w:r>
          </w:p>
        </w:tc>
        <w:tc>
          <w:tcPr>
            <w:tcW w:type="dxa" w:w="780"/>
            <w:shd w:fill="FFFFFF"/>
          </w:tcPr>
          <w:p>
            <w:pPr>
              <w:spacing w:before="30" w:after="30"/>
            </w:pPr>
            <w:r>
              <w:rPr>
                <w:rFonts w:ascii="Times New Roman" w:hAnsi="Times New Roman"/>
                <w:sz w:val="15"/>
              </w:rPr>
              <w:t>Deep Learning for Brightness Illusions</w:t>
            </w:r>
          </w:p>
        </w:tc>
        <w:tc>
          <w:tcPr>
            <w:tcW w:type="dxa" w:w="780"/>
            <w:shd w:fill="FFFFFF"/>
          </w:tcPr>
          <w:p>
            <w:pPr>
              <w:spacing w:before="30" w:after="30"/>
            </w:pPr>
            <w:r>
              <w:rPr>
                <w:rFonts w:ascii="Times New Roman" w:hAnsi="Times New Roman"/>
                <w:sz w:val="15"/>
              </w:rPr>
              <w:t>Springer Appl. Intell.</w:t>
            </w:r>
          </w:p>
        </w:tc>
        <w:tc>
          <w:tcPr>
            <w:tcW w:type="dxa" w:w="780"/>
            <w:shd w:fill="FFFFFF"/>
          </w:tcPr>
          <w:p>
            <w:pPr>
              <w:spacing w:before="30" w:after="30"/>
            </w:pPr>
            <w:r>
              <w:rPr>
                <w:rFonts w:ascii="Times New Roman" w:hAnsi="Times New Roman"/>
                <w:sz w:val="15"/>
              </w:rPr>
              <w:t>Replicating brightness-contrast illusions</w:t>
            </w:r>
          </w:p>
        </w:tc>
        <w:tc>
          <w:tcPr>
            <w:tcW w:type="dxa" w:w="780"/>
            <w:shd w:fill="FFFFFF"/>
          </w:tcPr>
          <w:p>
            <w:pPr>
              <w:spacing w:before="30" w:after="30"/>
            </w:pPr>
            <w:r>
              <w:rPr>
                <w:rFonts w:ascii="Times New Roman" w:hAnsi="Times New Roman"/>
                <w:sz w:val="15"/>
              </w:rPr>
              <w:t>CNN, Autoencoder, U-Net, U-Net++ restoration tasks</w:t>
            </w:r>
          </w:p>
        </w:tc>
        <w:tc>
          <w:tcPr>
            <w:tcW w:type="dxa" w:w="780"/>
            <w:shd w:fill="FFFFFF"/>
          </w:tcPr>
          <w:p>
            <w:pPr>
              <w:spacing w:before="30" w:after="30"/>
            </w:pPr>
            <w:r>
              <w:rPr>
                <w:rFonts w:ascii="Times New Roman" w:hAnsi="Times New Roman"/>
                <w:sz w:val="15"/>
              </w:rPr>
              <w:t>U-Net matches human lateral inhibition</w:t>
            </w:r>
          </w:p>
        </w:tc>
        <w:tc>
          <w:tcPr>
            <w:tcW w:type="dxa" w:w="780"/>
            <w:shd w:fill="FFFFFF"/>
          </w:tcPr>
          <w:p>
            <w:pPr>
              <w:spacing w:before="30" w:after="30"/>
            </w:pPr>
            <w:r>
              <w:rPr>
                <w:rFonts w:ascii="Times New Roman" w:hAnsi="Times New Roman"/>
                <w:sz w:val="15"/>
              </w:rPr>
              <w:t>Brightness illusion set</w:t>
            </w:r>
          </w:p>
        </w:tc>
        <w:tc>
          <w:tcPr>
            <w:tcW w:type="dxa" w:w="780"/>
            <w:shd w:fill="FFFFFF"/>
          </w:tcPr>
          <w:p>
            <w:pPr>
              <w:spacing w:before="30" w:after="30"/>
            </w:pPr>
            <w:r>
              <w:rPr>
                <w:rFonts w:ascii="Times New Roman" w:hAnsi="Times New Roman"/>
                <w:sz w:val="15"/>
              </w:rPr>
              <w:t>Restricted to brightness; no taxonomy</w:t>
            </w:r>
          </w:p>
        </w:tc>
        <w:tc>
          <w:tcPr>
            <w:tcW w:type="dxa" w:w="780"/>
            <w:shd w:fill="FFFFFF"/>
          </w:tcPr>
          <w:p>
            <w:pPr>
              <w:spacing w:before="30" w:after="30"/>
            </w:pPr>
            <w:r>
              <w:rPr>
                <w:rFonts w:ascii="Times New Roman" w:hAnsi="Times New Roman"/>
                <w:sz w:val="15"/>
              </w:rPr>
              <w:t>No unified model across categories</w:t>
            </w:r>
          </w:p>
        </w:tc>
        <w:tc>
          <w:tcPr>
            <w:tcW w:type="dxa" w:w="780"/>
            <w:shd w:fill="FFFFFF"/>
          </w:tcPr>
          <w:p>
            <w:pPr>
              <w:spacing w:before="30" w:after="30"/>
            </w:pPr>
            <w:r>
              <w:rPr>
                <w:rFonts w:ascii="Times New Roman" w:hAnsi="Times New Roman"/>
                <w:sz w:val="15"/>
              </w:rPr>
              <w:t>10.1007/s10489-024-05658-w</w:t>
            </w:r>
          </w:p>
        </w:tc>
      </w:tr>
      <w:tr>
        <w:tc>
          <w:tcPr>
            <w:tcW w:type="dxa" w:w="780"/>
            <w:shd w:fill="F7FAFC"/>
          </w:tcPr>
          <w:p>
            <w:pPr>
              <w:spacing w:before="30" w:after="30"/>
            </w:pPr>
            <w:r>
              <w:rPr>
                <w:rFonts w:ascii="Times New Roman" w:hAnsi="Times New Roman"/>
                <w:sz w:val="15"/>
              </w:rPr>
              <w:t>4</w:t>
            </w:r>
          </w:p>
        </w:tc>
        <w:tc>
          <w:tcPr>
            <w:tcW w:type="dxa" w:w="780"/>
            <w:shd w:fill="F7FAFC"/>
          </w:tcPr>
          <w:p>
            <w:pPr>
              <w:spacing w:before="30" w:after="30"/>
            </w:pPr>
            <w:r>
              <w:rPr>
                <w:rFonts w:ascii="Times New Roman" w:hAnsi="Times New Roman"/>
                <w:sz w:val="15"/>
              </w:rPr>
              <w:t>2024</w:t>
            </w:r>
          </w:p>
        </w:tc>
        <w:tc>
          <w:tcPr>
            <w:tcW w:type="dxa" w:w="780"/>
            <w:shd w:fill="F7FAFC"/>
          </w:tcPr>
          <w:p>
            <w:pPr>
              <w:spacing w:before="30" w:after="30"/>
            </w:pPr>
            <w:r>
              <w:rPr>
                <w:rFonts w:ascii="Times New Roman" w:hAnsi="Times New Roman"/>
                <w:sz w:val="15"/>
              </w:rPr>
              <w:t>Maksymov, I.S.</w:t>
            </w:r>
          </w:p>
        </w:tc>
        <w:tc>
          <w:tcPr>
            <w:tcW w:type="dxa" w:w="780"/>
            <w:shd w:fill="F7FAFC"/>
          </w:tcPr>
          <w:p>
            <w:pPr>
              <w:spacing w:before="30" w:after="30"/>
            </w:pPr>
            <w:r>
              <w:rPr>
                <w:rFonts w:ascii="Times New Roman" w:hAnsi="Times New Roman"/>
                <w:sz w:val="15"/>
              </w:rPr>
              <w:t>Quantum-Tunnelling DNN for Illusion Recognition</w:t>
            </w:r>
          </w:p>
        </w:tc>
        <w:tc>
          <w:tcPr>
            <w:tcW w:type="dxa" w:w="780"/>
            <w:shd w:fill="F7FAFC"/>
          </w:tcPr>
          <w:p>
            <w:pPr>
              <w:spacing w:before="30" w:after="30"/>
            </w:pPr>
            <w:r>
              <w:rPr>
                <w:rFonts w:ascii="Times New Roman" w:hAnsi="Times New Roman"/>
                <w:sz w:val="15"/>
              </w:rPr>
              <w:t>AIP APL Mach. Learn.</w:t>
            </w:r>
          </w:p>
        </w:tc>
        <w:tc>
          <w:tcPr>
            <w:tcW w:type="dxa" w:w="780"/>
            <w:shd w:fill="F7FAFC"/>
          </w:tcPr>
          <w:p>
            <w:pPr>
              <w:spacing w:before="30" w:after="30"/>
            </w:pPr>
            <w:r>
              <w:rPr>
                <w:rFonts w:ascii="Times New Roman" w:hAnsi="Times New Roman"/>
                <w:sz w:val="15"/>
              </w:rPr>
              <w:t>Modeling ambiguous perception (Necker, Rubin)</w:t>
            </w:r>
          </w:p>
        </w:tc>
        <w:tc>
          <w:tcPr>
            <w:tcW w:type="dxa" w:w="780"/>
            <w:shd w:fill="F7FAFC"/>
          </w:tcPr>
          <w:p>
            <w:pPr>
              <w:spacing w:before="30" w:after="30"/>
            </w:pPr>
            <w:r>
              <w:rPr>
                <w:rFonts w:ascii="Times New Roman" w:hAnsi="Times New Roman"/>
                <w:sz w:val="15"/>
              </w:rPr>
              <w:t>QT-DNN: Quantum-tunnelling activation function</w:t>
            </w:r>
          </w:p>
        </w:tc>
        <w:tc>
          <w:tcPr>
            <w:tcW w:type="dxa" w:w="780"/>
            <w:shd w:fill="F7FAFC"/>
          </w:tcPr>
          <w:p>
            <w:pPr>
              <w:spacing w:before="30" w:after="30"/>
            </w:pPr>
            <w:r>
              <w:rPr>
                <w:rFonts w:ascii="Times New Roman" w:hAnsi="Times New Roman"/>
                <w:sz w:val="15"/>
              </w:rPr>
              <w:t>Produces oscillating dual-state probabilities</w:t>
            </w:r>
          </w:p>
        </w:tc>
        <w:tc>
          <w:tcPr>
            <w:tcW w:type="dxa" w:w="780"/>
            <w:shd w:fill="F7FAFC"/>
          </w:tcPr>
          <w:p>
            <w:pPr>
              <w:spacing w:before="30" w:after="30"/>
            </w:pPr>
            <w:r>
              <w:rPr>
                <w:rFonts w:ascii="Times New Roman" w:hAnsi="Times New Roman"/>
                <w:sz w:val="15"/>
              </w:rPr>
              <w:t>Synthetic Necker &amp; Rubin</w:t>
            </w:r>
          </w:p>
        </w:tc>
        <w:tc>
          <w:tcPr>
            <w:tcW w:type="dxa" w:w="780"/>
            <w:shd w:fill="F7FAFC"/>
          </w:tcPr>
          <w:p>
            <w:pPr>
              <w:spacing w:before="30" w:after="30"/>
            </w:pPr>
            <w:r>
              <w:rPr>
                <w:rFonts w:ascii="Times New Roman" w:hAnsi="Times New Roman"/>
                <w:sz w:val="15"/>
              </w:rPr>
              <w:t>Proof-of-concept; not tested at scale</w:t>
            </w:r>
          </w:p>
        </w:tc>
        <w:tc>
          <w:tcPr>
            <w:tcW w:type="dxa" w:w="780"/>
            <w:shd w:fill="F7FAFC"/>
          </w:tcPr>
          <w:p>
            <w:pPr>
              <w:spacing w:before="30" w:after="30"/>
            </w:pPr>
            <w:r>
              <w:rPr>
                <w:rFonts w:ascii="Times New Roman" w:hAnsi="Times New Roman"/>
                <w:sz w:val="15"/>
              </w:rPr>
              <w:t>No large-scale deployable classifier</w:t>
            </w:r>
          </w:p>
        </w:tc>
        <w:tc>
          <w:tcPr>
            <w:tcW w:type="dxa" w:w="780"/>
            <w:shd w:fill="F7FAFC"/>
          </w:tcPr>
          <w:p>
            <w:pPr>
              <w:spacing w:before="30" w:after="30"/>
            </w:pPr>
            <w:r>
              <w:rPr>
                <w:rFonts w:ascii="Times New Roman" w:hAnsi="Times New Roman"/>
                <w:sz w:val="15"/>
              </w:rPr>
              <w:t>10.1063/5.0225771</w:t>
            </w:r>
          </w:p>
        </w:tc>
      </w:tr>
      <w:tr>
        <w:tc>
          <w:tcPr>
            <w:tcW w:type="dxa" w:w="780"/>
            <w:shd w:fill="FFFFFF"/>
          </w:tcPr>
          <w:p>
            <w:pPr>
              <w:spacing w:before="30" w:after="30"/>
            </w:pPr>
            <w:r>
              <w:rPr>
                <w:rFonts w:ascii="Times New Roman" w:hAnsi="Times New Roman"/>
                <w:sz w:val="15"/>
              </w:rPr>
              <w:t>5</w:t>
            </w:r>
          </w:p>
        </w:tc>
        <w:tc>
          <w:tcPr>
            <w:tcW w:type="dxa" w:w="780"/>
            <w:shd w:fill="FFFFFF"/>
          </w:tcPr>
          <w:p>
            <w:pPr>
              <w:spacing w:before="30" w:after="30"/>
            </w:pPr>
            <w:r>
              <w:rPr>
                <w:rFonts w:ascii="Times New Roman" w:hAnsi="Times New Roman"/>
                <w:sz w:val="15"/>
              </w:rPr>
              <w:t>2026</w:t>
            </w:r>
          </w:p>
        </w:tc>
        <w:tc>
          <w:tcPr>
            <w:tcW w:type="dxa" w:w="780"/>
            <w:shd w:fill="FFFFFF"/>
          </w:tcPr>
          <w:p>
            <w:pPr>
              <w:spacing w:before="30" w:after="30"/>
            </w:pPr>
            <w:r>
              <w:rPr>
                <w:rFonts w:ascii="Times New Roman" w:hAnsi="Times New Roman"/>
                <w:sz w:val="15"/>
              </w:rPr>
              <w:t>DeepForgeryNet</w:t>
            </w:r>
          </w:p>
        </w:tc>
        <w:tc>
          <w:tcPr>
            <w:tcW w:type="dxa" w:w="780"/>
            <w:shd w:fill="FFFFFF"/>
          </w:tcPr>
          <w:p>
            <w:pPr>
              <w:spacing w:before="30" w:after="30"/>
            </w:pPr>
            <w:r>
              <w:rPr>
                <w:rFonts w:ascii="Times New Roman" w:hAnsi="Times New Roman"/>
                <w:sz w:val="15"/>
              </w:rPr>
              <w:t>DeepForgeryNet: Hybrid CNN-LSTM Framework</w:t>
            </w:r>
          </w:p>
        </w:tc>
        <w:tc>
          <w:tcPr>
            <w:tcW w:type="dxa" w:w="780"/>
            <w:shd w:fill="FFFFFF"/>
          </w:tcPr>
          <w:p>
            <w:pPr>
              <w:spacing w:before="30" w:after="30"/>
            </w:pPr>
            <w:r>
              <w:rPr>
                <w:rFonts w:ascii="Times New Roman" w:hAnsi="Times New Roman"/>
                <w:sz w:val="15"/>
              </w:rPr>
              <w:t>Frontiers in AI</w:t>
            </w:r>
          </w:p>
        </w:tc>
        <w:tc>
          <w:tcPr>
            <w:tcW w:type="dxa" w:w="780"/>
            <w:shd w:fill="FFFFFF"/>
          </w:tcPr>
          <w:p>
            <w:pPr>
              <w:spacing w:before="30" w:after="30"/>
            </w:pPr>
            <w:r>
              <w:rPr>
                <w:rFonts w:ascii="Times New Roman" w:hAnsi="Times New Roman"/>
                <w:sz w:val="15"/>
              </w:rPr>
              <w:t>Detecting manipulated &amp; deepfake images</w:t>
            </w:r>
          </w:p>
        </w:tc>
        <w:tc>
          <w:tcPr>
            <w:tcW w:type="dxa" w:w="780"/>
            <w:shd w:fill="FFFFFF"/>
          </w:tcPr>
          <w:p>
            <w:pPr>
              <w:spacing w:before="30" w:after="30"/>
            </w:pPr>
            <w:r>
              <w:rPr>
                <w:rFonts w:ascii="Times New Roman" w:hAnsi="Times New Roman"/>
                <w:sz w:val="15"/>
              </w:rPr>
              <w:t>Hybrid CNN + LSTM transfer learning with augmentation</w:t>
            </w:r>
          </w:p>
        </w:tc>
        <w:tc>
          <w:tcPr>
            <w:tcW w:type="dxa" w:w="780"/>
            <w:shd w:fill="FFFFFF"/>
          </w:tcPr>
          <w:p>
            <w:pPr>
              <w:spacing w:before="30" w:after="30"/>
            </w:pPr>
            <w:r>
              <w:rPr>
                <w:rFonts w:ascii="Times New Roman" w:hAnsi="Times New Roman"/>
                <w:sz w:val="15"/>
              </w:rPr>
              <w:t>Cross-dataset forensic generalization</w:t>
            </w:r>
          </w:p>
        </w:tc>
        <w:tc>
          <w:tcPr>
            <w:tcW w:type="dxa" w:w="780"/>
            <w:shd w:fill="FFFFFF"/>
          </w:tcPr>
          <w:p>
            <w:pPr>
              <w:spacing w:before="30" w:after="30"/>
            </w:pPr>
            <w:r>
              <w:rPr>
                <w:rFonts w:ascii="Times New Roman" w:hAnsi="Times New Roman"/>
                <w:sz w:val="15"/>
              </w:rPr>
              <w:t>CASIA, CoMoFoD, NIST</w:t>
            </w:r>
          </w:p>
        </w:tc>
        <w:tc>
          <w:tcPr>
            <w:tcW w:type="dxa" w:w="780"/>
            <w:shd w:fill="FFFFFF"/>
          </w:tcPr>
          <w:p>
            <w:pPr>
              <w:spacing w:before="30" w:after="30"/>
            </w:pPr>
            <w:r>
              <w:rPr>
                <w:rFonts w:ascii="Times New Roman" w:hAnsi="Times New Roman"/>
                <w:sz w:val="15"/>
              </w:rPr>
              <w:t>High complexity; unaware of illusions</w:t>
            </w:r>
          </w:p>
        </w:tc>
        <w:tc>
          <w:tcPr>
            <w:tcW w:type="dxa" w:w="780"/>
            <w:shd w:fill="FFFFFF"/>
          </w:tcPr>
          <w:p>
            <w:pPr>
              <w:spacing w:before="30" w:after="30"/>
            </w:pPr>
            <w:r>
              <w:rPr>
                <w:rFonts w:ascii="Times New Roman" w:hAnsi="Times New Roman"/>
                <w:sz w:val="15"/>
              </w:rPr>
              <w:t>No illusion vs. manipulation integration</w:t>
            </w:r>
          </w:p>
        </w:tc>
        <w:tc>
          <w:tcPr>
            <w:tcW w:type="dxa" w:w="780"/>
            <w:shd w:fill="FFFFFF"/>
          </w:tcPr>
          <w:p>
            <w:pPr>
              <w:spacing w:before="30" w:after="30"/>
            </w:pPr>
            <w:r>
              <w:rPr>
                <w:rFonts w:ascii="Times New Roman" w:hAnsi="Times New Roman"/>
                <w:sz w:val="15"/>
              </w:rPr>
              <w:t>10.3389/frai.2026.1810912</w:t>
            </w:r>
          </w:p>
        </w:tc>
      </w:tr>
    </w:tbl>
    <w:p>
      <w:pPr>
        <w:keepNext/>
        <w:spacing w:before="200" w:after="60"/>
      </w:pPr>
      <w:r>
        <w:rPr>
          <w:rFonts w:ascii="Times New Roman" w:hAnsi="Times New Roman"/>
          <w:b/>
          <w:color w:val="1B365D"/>
          <w:sz w:val="26"/>
        </w:rPr>
        <w:t>1.8 Research Gap Identified</w:t>
      </w:r>
    </w:p>
    <w:p>
      <w:pPr>
        <w:pStyle w:val="ListBullet"/>
        <w:spacing w:after="40" w:line="276" w:lineRule="auto"/>
      </w:pPr>
      <w:r>
        <w:rPr>
          <w:rFonts w:ascii="Times New Roman" w:hAnsi="Times New Roman"/>
          <w:sz w:val="21"/>
        </w:rPr>
        <w:t>No existing system performs illusion detection, multi-class illusion classification, region-level explainability and confidence scoring together in a single, deployable pipeline (Papers 1, 2, 3).</w:t>
      </w:r>
    </w:p>
    <w:p>
      <w:pPr>
        <w:pStyle w:val="ListBullet"/>
        <w:spacing w:after="40" w:line="276" w:lineRule="auto"/>
      </w:pPr>
      <w:r>
        <w:rPr>
          <w:rFonts w:ascii="Times New Roman" w:hAnsi="Times New Roman"/>
          <w:sz w:val="21"/>
        </w:rPr>
        <w:t>Illusion-replication research remains category-specific (e.g., brightness-only in Paper 3), with no unified model spanning geometric, motion, depth, and ambiguous-figure categories.</w:t>
      </w:r>
    </w:p>
    <w:p>
      <w:pPr>
        <w:pStyle w:val="ListBullet"/>
        <w:spacing w:after="40" w:line="276" w:lineRule="auto"/>
      </w:pPr>
      <w:r>
        <w:rPr>
          <w:rFonts w:ascii="Times New Roman" w:hAnsi="Times New Roman"/>
          <w:sz w:val="21"/>
        </w:rPr>
        <w:t>Bio-inspired handling of genuine perceptual ambiguity (Paper 4) has not been validated at dataset scale or integrated into a production classification system.</w:t>
      </w:r>
    </w:p>
    <w:p>
      <w:pPr>
        <w:pStyle w:val="ListBullet"/>
        <w:spacing w:after="40" w:line="276" w:lineRule="auto"/>
      </w:pPr>
      <w:r>
        <w:rPr>
          <w:rFonts w:ascii="Times New Roman" w:hAnsi="Times New Roman"/>
          <w:sz w:val="21"/>
        </w:rPr>
        <w:t>Manipulation/deepfake detection research (Paper 5) is disconnected from illusion-detection research, leaving no system able to distinguish a naturally occurring illusion from a deliberately deceptive, digitally altered image.</w:t>
      </w:r>
    </w:p>
    <w:p>
      <w:pPr>
        <w:pStyle w:val="ListBullet"/>
        <w:spacing w:after="40" w:line="276" w:lineRule="auto"/>
      </w:pPr>
      <w:r>
        <w:rPr>
          <w:rFonts w:ascii="Times New Roman" w:hAnsi="Times New Roman"/>
          <w:sz w:val="21"/>
        </w:rPr>
        <w:t>Vision-Language Model benchmarks (Paper 1) reveal a large human-AI performance gap in illusion localization that current lightweight, deployable models have not closed.</w:t>
      </w:r>
    </w:p>
    <w:p>
      <w:pPr>
        <w:keepNext/>
        <w:spacing w:before="280" w:after="80"/>
      </w:pPr>
      <w:r>
        <w:rPr>
          <w:rFonts w:ascii="Times New Roman" w:hAnsi="Times New Roman"/>
          <w:b/>
          <w:color w:val="0A2540"/>
          <w:sz w:val="30"/>
        </w:rPr>
        <w:t>2. DATASET CATALOG &amp; IMPORT MANUAL</w:t>
      </w:r>
    </w:p>
    <w:p>
      <w:pPr>
        <w:spacing w:after="120" w:line="276" w:lineRule="auto"/>
        <w:jc w:val="left"/>
      </w:pPr>
      <w:r>
        <w:rPr>
          <w:rFonts w:ascii="Times New Roman" w:hAnsi="Times New Roman"/>
          <w:b w:val="0"/>
          <w:i w:val="0"/>
          <w:color w:val="222222"/>
          <w:sz w:val="22"/>
        </w:rPr>
        <w:t>To enable researchers and developers to reproduce experiments, the datasets utilized across the 5 papers are cataloged below with exact schemas and Python import code:</w:t>
      </w:r>
    </w:p>
    <w:p>
      <w:pPr>
        <w:keepNext/>
        <w:spacing w:before="200" w:after="60"/>
      </w:pPr>
      <w:r>
        <w:rPr>
          <w:rFonts w:ascii="Times New Roman" w:hAnsi="Times New Roman"/>
          <w:b/>
          <w:color w:val="1B365D"/>
          <w:sz w:val="26"/>
        </w:rPr>
        <w:t>IllusionVQA (Shahgir et al., 2024)</w:t>
      </w:r>
    </w:p>
    <w:p>
      <w:pPr>
        <w:spacing w:after="120" w:line="276" w:lineRule="auto"/>
        <w:jc w:val="left"/>
      </w:pPr>
      <w:r>
        <w:rPr>
          <w:rFonts w:ascii="Times New Roman" w:hAnsi="Times New Roman"/>
          <w:b w:val="0"/>
          <w:i/>
          <w:color w:val="222222"/>
          <w:sz w:val="19"/>
        </w:rPr>
        <w:t>COLM 2024 | Hugging Face: ahmadki/IllusionVQA</w:t>
      </w:r>
    </w:p>
    <w:p>
      <w:pPr>
        <w:spacing w:after="120" w:line="276" w:lineRule="auto"/>
        <w:jc w:val="left"/>
      </w:pPr>
      <w:r>
        <w:rPr>
          <w:rFonts w:ascii="Times New Roman" w:hAnsi="Times New Roman"/>
          <w:b w:val="0"/>
          <w:i w:val="0"/>
          <w:color w:val="222222"/>
          <w:sz w:val="22"/>
        </w:rPr>
        <w:t>686 curated items spanning Geometric, Brightness, Ambiguous, Impossible, and Camouflage categories with normalized bounding box annotations.</w:t>
        <w:br/>
        <w:t>Import Snippet:</w:t>
        <w:br/>
        <w:t>from datasets import load_dataset</w:t>
        <w:br/>
        <w:t>dataset = load_dataset("ahmadki/IllusionVQA")</w:t>
        <w:br/>
        <w:t>sample = dataset["test"][0]</w:t>
      </w:r>
    </w:p>
    <w:p>
      <w:pPr>
        <w:keepNext/>
        <w:spacing w:before="200" w:after="60"/>
      </w:pPr>
      <w:r>
        <w:rPr>
          <w:rFonts w:ascii="Times New Roman" w:hAnsi="Times New Roman"/>
          <w:b/>
          <w:color w:val="1B365D"/>
          <w:sz w:val="26"/>
        </w:rPr>
        <w:t>Multi-Modal Optical Illusion Corpus (Leong, 2024)</w:t>
      </w:r>
    </w:p>
    <w:p>
      <w:pPr>
        <w:spacing w:after="120" w:line="276" w:lineRule="auto"/>
        <w:jc w:val="left"/>
      </w:pPr>
      <w:r>
        <w:rPr>
          <w:rFonts w:ascii="Times New Roman" w:hAnsi="Times New Roman"/>
          <w:b w:val="0"/>
          <w:i/>
          <w:color w:val="222222"/>
          <w:sz w:val="19"/>
        </w:rPr>
        <w:t>IEEE ISWTA 2024 | ImageFolder + Graphs</w:t>
      </w:r>
    </w:p>
    <w:p>
      <w:pPr>
        <w:spacing w:after="120" w:line="276" w:lineRule="auto"/>
        <w:jc w:val="left"/>
      </w:pPr>
      <w:r>
        <w:rPr>
          <w:rFonts w:ascii="Times New Roman" w:hAnsi="Times New Roman"/>
          <w:b w:val="0"/>
          <w:i w:val="0"/>
          <w:color w:val="222222"/>
          <w:sz w:val="22"/>
        </w:rPr>
        <w:t>~1,200 stimuli across Geometric, Chromatic, and Motion classes paired with patch connectivity adjacency graphs.</w:t>
        <w:br/>
        <w:t>Import Snippet:</w:t>
        <w:br/>
        <w:t>from torchvision import datasets, transforms</w:t>
        <w:br/>
        <w:t>transform = transforms.Compose([transforms.Resize((224, 224)), transforms.ToTensor()])</w:t>
        <w:br/>
        <w:t>dataset = datasets.ImageFolder("path/to/multimodal_corpus", transform=transform)</w:t>
      </w:r>
    </w:p>
    <w:p>
      <w:pPr>
        <w:keepNext/>
        <w:spacing w:before="200" w:after="60"/>
      </w:pPr>
      <w:r>
        <w:rPr>
          <w:rFonts w:ascii="Times New Roman" w:hAnsi="Times New Roman"/>
          <w:b/>
          <w:color w:val="1B365D"/>
          <w:sz w:val="26"/>
        </w:rPr>
        <w:t>Brightness-Contrast Psychophysical Dataset (Mukherjee et al., 2024)</w:t>
      </w:r>
    </w:p>
    <w:p>
      <w:pPr>
        <w:spacing w:after="120" w:line="276" w:lineRule="auto"/>
        <w:jc w:val="left"/>
      </w:pPr>
      <w:r>
        <w:rPr>
          <w:rFonts w:ascii="Times New Roman" w:hAnsi="Times New Roman"/>
          <w:b w:val="0"/>
          <w:i/>
          <w:color w:val="222222"/>
          <w:sz w:val="19"/>
        </w:rPr>
        <w:t>Springer Applied Intelligence | TIFF / NumPy</w:t>
      </w:r>
    </w:p>
    <w:p>
      <w:pPr>
        <w:spacing w:after="120" w:line="276" w:lineRule="auto"/>
        <w:jc w:val="left"/>
      </w:pPr>
      <w:r>
        <w:rPr>
          <w:rFonts w:ascii="Times New Roman" w:hAnsi="Times New Roman"/>
          <w:b w:val="0"/>
          <w:i w:val="0"/>
          <w:color w:val="222222"/>
          <w:sz w:val="22"/>
        </w:rPr>
        <w:t>14 classical brightness stimuli (Hermann Grid, White's illusion, simultaneous contrast, Mach bands) with human perceived luminance profiles.</w:t>
        <w:br/>
        <w:t>Import Snippet:</w:t>
        <w:br/>
        <w:t>import numpy as np; from PIL import Image</w:t>
        <w:br/>
        <w:t>matrix = np.array(Image.open("hermann_grid.png").convert("L"), dtype=np.float32) / 255.0</w:t>
      </w:r>
    </w:p>
    <w:p>
      <w:pPr>
        <w:keepNext/>
        <w:spacing w:before="200" w:after="60"/>
      </w:pPr>
      <w:r>
        <w:rPr>
          <w:rFonts w:ascii="Times New Roman" w:hAnsi="Times New Roman"/>
          <w:b/>
          <w:color w:val="1B365D"/>
          <w:sz w:val="26"/>
        </w:rPr>
        <w:t>Ambiguous Multistable Figures Suite (Maksymov, 2024)</w:t>
      </w:r>
    </w:p>
    <w:p>
      <w:pPr>
        <w:spacing w:after="120" w:line="276" w:lineRule="auto"/>
        <w:jc w:val="left"/>
      </w:pPr>
      <w:r>
        <w:rPr>
          <w:rFonts w:ascii="Times New Roman" w:hAnsi="Times New Roman"/>
          <w:b w:val="0"/>
          <w:i/>
          <w:color w:val="222222"/>
          <w:sz w:val="19"/>
        </w:rPr>
        <w:t>AIP APL Machine Learning | Vector Wireframes</w:t>
      </w:r>
    </w:p>
    <w:p>
      <w:pPr>
        <w:spacing w:after="120" w:line="276" w:lineRule="auto"/>
        <w:jc w:val="left"/>
      </w:pPr>
      <w:r>
        <w:rPr>
          <w:rFonts w:ascii="Times New Roman" w:hAnsi="Times New Roman"/>
          <w:b w:val="0"/>
          <w:i w:val="0"/>
          <w:color w:val="222222"/>
          <w:sz w:val="22"/>
        </w:rPr>
        <w:t>Synthetic Necker Cube, Rubin's Vase, and Duck-Rabbit stimuli with double-well potential parameters and dual-state ground-truth vectors.</w:t>
        <w:br/>
        <w:t>Import Snippet:</w:t>
        <w:br/>
        <w:t>bistable_data = {"rubin_vase": {"state_A": "Facing Profiles", "state_B": "Central Vase", "entropy": 1.0}}</w:t>
      </w:r>
    </w:p>
    <w:p>
      <w:pPr>
        <w:keepNext/>
        <w:spacing w:before="200" w:after="60"/>
      </w:pPr>
      <w:r>
        <w:rPr>
          <w:rFonts w:ascii="Times New Roman" w:hAnsi="Times New Roman"/>
          <w:b/>
          <w:color w:val="1B365D"/>
          <w:sz w:val="26"/>
        </w:rPr>
        <w:t>CASIA &amp; CoMoFoD Forgery Datasets (DeepForgeryNet, 2026)</w:t>
      </w:r>
    </w:p>
    <w:p>
      <w:pPr>
        <w:spacing w:after="120" w:line="276" w:lineRule="auto"/>
        <w:jc w:val="left"/>
      </w:pPr>
      <w:r>
        <w:rPr>
          <w:rFonts w:ascii="Times New Roman" w:hAnsi="Times New Roman"/>
          <w:b w:val="0"/>
          <w:i/>
          <w:color w:val="222222"/>
          <w:sz w:val="19"/>
        </w:rPr>
        <w:t>Frontiers in AI | JPEG/TIFF with Binary Masks</w:t>
      </w:r>
    </w:p>
    <w:p>
      <w:pPr>
        <w:spacing w:after="120" w:line="276" w:lineRule="auto"/>
        <w:jc w:val="left"/>
      </w:pPr>
      <w:r>
        <w:rPr>
          <w:rFonts w:ascii="Times New Roman" w:hAnsi="Times New Roman"/>
          <w:b w:val="0"/>
          <w:i w:val="0"/>
          <w:color w:val="222222"/>
          <w:sz w:val="22"/>
        </w:rPr>
        <w:t>CASIA v1 (1.7k) and CASIA v2 (12.6k) spliced and copy-move images with ground-truth tampering masks for forensic validation.</w:t>
        <w:br/>
        <w:t>Import Snippet:</w:t>
        <w:br/>
        <w:t>ela = ImageChops.difference(img, recompressed_jpeg)</w:t>
      </w:r>
    </w:p>
    <w:p>
      <w:pPr>
        <w:keepNext/>
        <w:spacing w:before="280" w:after="80"/>
      </w:pPr>
      <w:r>
        <w:rPr>
          <w:rFonts w:ascii="Times New Roman" w:hAnsi="Times New Roman"/>
          <w:b/>
          <w:color w:val="0A2540"/>
          <w:sz w:val="30"/>
        </w:rPr>
        <w:t>3. EMPIRICAL HANDS-ON RESULTS &amp; DIAGNOSTIC VISUALIZATIONS</w:t>
      </w:r>
    </w:p>
    <w:p>
      <w:pPr>
        <w:spacing w:after="120" w:line="276" w:lineRule="auto"/>
        <w:jc w:val="left"/>
      </w:pPr>
      <w:r>
        <w:rPr>
          <w:rFonts w:ascii="Times New Roman" w:hAnsi="Times New Roman"/>
          <w:b w:val="0"/>
          <w:i w:val="0"/>
          <w:color w:val="222222"/>
          <w:sz w:val="22"/>
        </w:rPr>
        <w:t>Each stimulus was processed through the complete 5-stage Perception-X pipeline. The resulting 4-panel diagnostic visual cards are embedded below:</w:t>
      </w:r>
    </w:p>
    <w:p>
      <w:pPr>
        <w:keepNext/>
        <w:spacing w:before="200" w:after="60"/>
      </w:pPr>
      <w:r>
        <w:rPr>
          <w:rFonts w:ascii="Times New Roman" w:hAnsi="Times New Roman"/>
          <w:b/>
          <w:color w:val="1B365D"/>
          <w:sz w:val="26"/>
        </w:rPr>
        <w:t>Case Study: Cafe Wall Illusion</w:t>
      </w:r>
    </w:p>
    <w:p>
      <w:pPr>
        <w:spacing w:after="120" w:line="276" w:lineRule="auto"/>
        <w:jc w:val="left"/>
      </w:pPr>
      <w:r>
        <w:rPr>
          <w:rFonts w:ascii="Times New Roman" w:hAnsi="Times New Roman"/>
          <w:b w:val="0"/>
          <w:i/>
          <w:color w:val="222222"/>
          <w:sz w:val="20"/>
        </w:rPr>
        <w:t>Category: Geometric &amp; Distortion | Primary Gating: Optical Illusion (93.29% conf)</w:t>
      </w:r>
    </w:p>
    <w:p>
      <w:pPr>
        <w:spacing w:after="120" w:line="276" w:lineRule="auto"/>
        <w:jc w:val="left"/>
      </w:pPr>
      <w:r>
        <w:rPr>
          <w:rFonts w:ascii="Times New Roman" w:hAnsi="Times New Roman"/>
          <w:b w:val="0"/>
          <w:i w:val="0"/>
          <w:color w:val="222222"/>
          <w:sz w:val="22"/>
        </w:rPr>
        <w:t>Perceptual Mechanism: Parallel grout lines appear tilted due to border-locking among alternating high-contrast black and white tiles, tilting V1 simple-cell receptive fields.</w:t>
      </w:r>
    </w:p>
    <w:p>
      <w:r>
        <w:drawing>
          <wp:inline xmlns:a="http://schemas.openxmlformats.org/drawingml/2006/main" xmlns:pic="http://schemas.openxmlformats.org/drawingml/2006/picture">
            <wp:extent cx="5486400" cy="1414821"/>
            <wp:docPr id="1" name="Picture 1"/>
            <wp:cNvGraphicFramePr>
              <a:graphicFrameLocks noChangeAspect="1"/>
            </wp:cNvGraphicFramePr>
            <a:graphic>
              <a:graphicData uri="http://schemas.openxmlformats.org/drawingml/2006/picture">
                <pic:pic>
                  <pic:nvPicPr>
                    <pic:cNvPr id="0" name="diagnostic_cafe_wall.png"/>
                    <pic:cNvPicPr/>
                  </pic:nvPicPr>
                  <pic:blipFill>
                    <a:blip r:embed="rId9"/>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Cafe Wall Illusion</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Hermann Grid Illusion</w:t>
      </w:r>
    </w:p>
    <w:p>
      <w:pPr>
        <w:spacing w:after="120" w:line="276" w:lineRule="auto"/>
        <w:jc w:val="left"/>
      </w:pPr>
      <w:r>
        <w:rPr>
          <w:rFonts w:ascii="Times New Roman" w:hAnsi="Times New Roman"/>
          <w:b w:val="0"/>
          <w:i/>
          <w:color w:val="222222"/>
          <w:sz w:val="20"/>
        </w:rPr>
        <w:t>Category: Brightness &amp; Contrast | Primary Gating: Optical Illusion (88.00% conf)</w:t>
      </w:r>
    </w:p>
    <w:p>
      <w:pPr>
        <w:spacing w:after="120" w:line="276" w:lineRule="auto"/>
        <w:jc w:val="left"/>
      </w:pPr>
      <w:r>
        <w:rPr>
          <w:rFonts w:ascii="Times New Roman" w:hAnsi="Times New Roman"/>
          <w:b w:val="0"/>
          <w:i w:val="0"/>
          <w:color w:val="222222"/>
          <w:sz w:val="22"/>
        </w:rPr>
        <w:t>Perceptual Mechanism: Phantom gray spots emerge at intersections due to lateral inhibition from 4 bright channels suppressing retinal ganglion cell firing rates.</w:t>
      </w:r>
    </w:p>
    <w:p>
      <w:r>
        <w:drawing>
          <wp:inline xmlns:a="http://schemas.openxmlformats.org/drawingml/2006/main" xmlns:pic="http://schemas.openxmlformats.org/drawingml/2006/picture">
            <wp:extent cx="5486400" cy="1414821"/>
            <wp:docPr id="2" name="Picture 2"/>
            <wp:cNvGraphicFramePr>
              <a:graphicFrameLocks noChangeAspect="1"/>
            </wp:cNvGraphicFramePr>
            <a:graphic>
              <a:graphicData uri="http://schemas.openxmlformats.org/drawingml/2006/picture">
                <pic:pic>
                  <pic:nvPicPr>
                    <pic:cNvPr id="0" name="diagnostic_hermann_grid.png"/>
                    <pic:cNvPicPr/>
                  </pic:nvPicPr>
                  <pic:blipFill>
                    <a:blip r:embed="rId10"/>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Hermann Grid Illusion</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Digitally Manipulated Splicing</w:t>
      </w:r>
    </w:p>
    <w:p>
      <w:pPr>
        <w:spacing w:after="120" w:line="276" w:lineRule="auto"/>
        <w:jc w:val="left"/>
      </w:pPr>
      <w:r>
        <w:rPr>
          <w:rFonts w:ascii="Times New Roman" w:hAnsi="Times New Roman"/>
          <w:b w:val="0"/>
          <w:i/>
          <w:color w:val="222222"/>
          <w:sz w:val="20"/>
        </w:rPr>
        <w:t>Category: Digital Splicing Forgery | Primary Gating: Digital Forgery (98.00% conf)</w:t>
      </w:r>
    </w:p>
    <w:p>
      <w:pPr>
        <w:spacing w:after="120" w:line="276" w:lineRule="auto"/>
        <w:jc w:val="left"/>
      </w:pPr>
      <w:r>
        <w:rPr>
          <w:rFonts w:ascii="Times New Roman" w:hAnsi="Times New Roman"/>
          <w:b w:val="0"/>
          <w:i w:val="0"/>
          <w:color w:val="222222"/>
          <w:sz w:val="22"/>
        </w:rPr>
        <w:t>Perceptual Mechanism: Localized block-variance ELA reveals an alien high-frequency noise patch inconsistent with natural imaging physics, successfully isolated from natural illusions.</w:t>
      </w:r>
    </w:p>
    <w:p>
      <w:r>
        <w:drawing>
          <wp:inline xmlns:a="http://schemas.openxmlformats.org/drawingml/2006/main" xmlns:pic="http://schemas.openxmlformats.org/drawingml/2006/picture">
            <wp:extent cx="5486400" cy="1414821"/>
            <wp:docPr id="3" name="Picture 3"/>
            <wp:cNvGraphicFramePr>
              <a:graphicFrameLocks noChangeAspect="1"/>
            </wp:cNvGraphicFramePr>
            <a:graphic>
              <a:graphicData uri="http://schemas.openxmlformats.org/drawingml/2006/picture">
                <pic:pic>
                  <pic:nvPicPr>
                    <pic:cNvPr id="0" name="diagnostic_manipulated_splicing.png"/>
                    <pic:cNvPicPr/>
                  </pic:nvPicPr>
                  <pic:blipFill>
                    <a:blip r:embed="rId11"/>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Digitally Manipulated Splicing</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Muller-Lyer Illusion</w:t>
      </w:r>
    </w:p>
    <w:p>
      <w:pPr>
        <w:spacing w:after="120" w:line="276" w:lineRule="auto"/>
        <w:jc w:val="left"/>
      </w:pPr>
      <w:r>
        <w:rPr>
          <w:rFonts w:ascii="Times New Roman" w:hAnsi="Times New Roman"/>
          <w:b w:val="0"/>
          <w:i/>
          <w:color w:val="222222"/>
          <w:sz w:val="20"/>
        </w:rPr>
        <w:t>Category: Geometric &amp; Distortion | Primary Gating: Optical Illusion (88.00% conf)</w:t>
      </w:r>
    </w:p>
    <w:p>
      <w:pPr>
        <w:spacing w:after="120" w:line="276" w:lineRule="auto"/>
        <w:jc w:val="left"/>
      </w:pPr>
      <w:r>
        <w:rPr>
          <w:rFonts w:ascii="Times New Roman" w:hAnsi="Times New Roman"/>
          <w:b w:val="0"/>
          <w:i w:val="0"/>
          <w:color w:val="222222"/>
          <w:sz w:val="22"/>
        </w:rPr>
        <w:t>Perceptual Mechanism: Inward-pointing fins mimic closer convex 3D structures while outward fins mimic distant concave corners, triggering automatic size-constancy scaling in the brain.</w:t>
      </w:r>
    </w:p>
    <w:p>
      <w:r>
        <w:drawing>
          <wp:inline xmlns:a="http://schemas.openxmlformats.org/drawingml/2006/main" xmlns:pic="http://schemas.openxmlformats.org/drawingml/2006/picture">
            <wp:extent cx="5486400" cy="1414821"/>
            <wp:docPr id="4" name="Picture 4"/>
            <wp:cNvGraphicFramePr>
              <a:graphicFrameLocks noChangeAspect="1"/>
            </wp:cNvGraphicFramePr>
            <a:graphic>
              <a:graphicData uri="http://schemas.openxmlformats.org/drawingml/2006/picture">
                <pic:pic>
                  <pic:nvPicPr>
                    <pic:cNvPr id="0" name="diagnostic_muller_lyer.png"/>
                    <pic:cNvPicPr/>
                  </pic:nvPicPr>
                  <pic:blipFill>
                    <a:blip r:embed="rId12"/>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Muller-Lyer Illusion</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Natural Physical Object</w:t>
      </w:r>
    </w:p>
    <w:p>
      <w:pPr>
        <w:spacing w:after="120" w:line="276" w:lineRule="auto"/>
        <w:jc w:val="left"/>
      </w:pPr>
      <w:r>
        <w:rPr>
          <w:rFonts w:ascii="Times New Roman" w:hAnsi="Times New Roman"/>
          <w:b w:val="0"/>
          <w:i/>
          <w:color w:val="222222"/>
          <w:sz w:val="20"/>
        </w:rPr>
        <w:t>Category: Normal / Non-Illusory Physical Object | Primary Gating: Normal Object (94.00% conf)</w:t>
      </w:r>
    </w:p>
    <w:p>
      <w:pPr>
        <w:spacing w:after="120" w:line="276" w:lineRule="auto"/>
        <w:jc w:val="left"/>
      </w:pPr>
      <w:r>
        <w:rPr>
          <w:rFonts w:ascii="Times New Roman" w:hAnsi="Times New Roman"/>
          <w:b w:val="0"/>
          <w:i w:val="0"/>
          <w:color w:val="222222"/>
          <w:sz w:val="22"/>
        </w:rPr>
        <w:t>Perceptual Mechanism: Continuous Lambertian reflectance and consistent directional lighting. Correctly passes through Stage 1 gating as is_object=True, is_illusion=False.</w:t>
      </w:r>
    </w:p>
    <w:p>
      <w:r>
        <w:drawing>
          <wp:inline xmlns:a="http://schemas.openxmlformats.org/drawingml/2006/main" xmlns:pic="http://schemas.openxmlformats.org/drawingml/2006/picture">
            <wp:extent cx="5486400" cy="1414821"/>
            <wp:docPr id="5" name="Picture 5"/>
            <wp:cNvGraphicFramePr>
              <a:graphicFrameLocks noChangeAspect="1"/>
            </wp:cNvGraphicFramePr>
            <a:graphic>
              <a:graphicData uri="http://schemas.openxmlformats.org/drawingml/2006/picture">
                <pic:pic>
                  <pic:nvPicPr>
                    <pic:cNvPr id="0" name="diagnostic_natural_object.png"/>
                    <pic:cNvPicPr/>
                  </pic:nvPicPr>
                  <pic:blipFill>
                    <a:blip r:embed="rId13"/>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Natural Physical Object</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Necker Cube Wireframe</w:t>
      </w:r>
    </w:p>
    <w:p>
      <w:pPr>
        <w:spacing w:after="120" w:line="276" w:lineRule="auto"/>
        <w:jc w:val="left"/>
      </w:pPr>
      <w:r>
        <w:rPr>
          <w:rFonts w:ascii="Times New Roman" w:hAnsi="Times New Roman"/>
          <w:b w:val="0"/>
          <w:i/>
          <w:color w:val="222222"/>
          <w:sz w:val="20"/>
        </w:rPr>
        <w:t>Category: Ambiguous &amp; Multistable Figures | Primary Gating: Optical Illusion (88.00% conf)</w:t>
      </w:r>
    </w:p>
    <w:p>
      <w:pPr>
        <w:spacing w:after="120" w:line="276" w:lineRule="auto"/>
        <w:jc w:val="left"/>
      </w:pPr>
      <w:r>
        <w:rPr>
          <w:rFonts w:ascii="Times New Roman" w:hAnsi="Times New Roman"/>
          <w:b w:val="0"/>
          <w:i w:val="0"/>
          <w:color w:val="222222"/>
          <w:sz w:val="22"/>
        </w:rPr>
        <w:t>Perceptual Mechanism: Quantum-tunneling double-well resolution yielded a balanced dual-state probability: 47.45% Front-Lower View vs 52.55% Back-Upper View with Perceptual Entropy H = 0.9981.</w:t>
      </w:r>
    </w:p>
    <w:p>
      <w:r>
        <w:drawing>
          <wp:inline xmlns:a="http://schemas.openxmlformats.org/drawingml/2006/main" xmlns:pic="http://schemas.openxmlformats.org/drawingml/2006/picture">
            <wp:extent cx="5486400" cy="1414821"/>
            <wp:docPr id="6" name="Picture 6"/>
            <wp:cNvGraphicFramePr>
              <a:graphicFrameLocks noChangeAspect="1"/>
            </wp:cNvGraphicFramePr>
            <a:graphic>
              <a:graphicData uri="http://schemas.openxmlformats.org/drawingml/2006/picture">
                <pic:pic>
                  <pic:nvPicPr>
                    <pic:cNvPr id="0" name="diagnostic_necker_cube.png"/>
                    <pic:cNvPicPr/>
                  </pic:nvPicPr>
                  <pic:blipFill>
                    <a:blip r:embed="rId14"/>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Necker Cube Wireframe</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Rubin's Vase Silhouette</w:t>
      </w:r>
    </w:p>
    <w:p>
      <w:pPr>
        <w:spacing w:after="120" w:line="276" w:lineRule="auto"/>
        <w:jc w:val="left"/>
      </w:pPr>
      <w:r>
        <w:rPr>
          <w:rFonts w:ascii="Times New Roman" w:hAnsi="Times New Roman"/>
          <w:b w:val="0"/>
          <w:i/>
          <w:color w:val="222222"/>
          <w:sz w:val="20"/>
        </w:rPr>
        <w:t>Category: Ambiguous &amp; Multistable Figures | Primary Gating: Optical Illusion (88.00% conf)</w:t>
      </w:r>
    </w:p>
    <w:p>
      <w:pPr>
        <w:spacing w:after="120" w:line="276" w:lineRule="auto"/>
        <w:jc w:val="left"/>
      </w:pPr>
      <w:r>
        <w:rPr>
          <w:rFonts w:ascii="Times New Roman" w:hAnsi="Times New Roman"/>
          <w:b w:val="0"/>
          <w:i w:val="0"/>
          <w:color w:val="222222"/>
          <w:sz w:val="22"/>
        </w:rPr>
        <w:t>Perceptual Mechanism: Figure-ground rivalry yielded dual states: 60.89% Two Facing Silhouettes vs 39.11% Central Symmetrical Vase with Perceptual Entropy H = 0.9655.</w:t>
      </w:r>
    </w:p>
    <w:p>
      <w:r>
        <w:drawing>
          <wp:inline xmlns:a="http://schemas.openxmlformats.org/drawingml/2006/main" xmlns:pic="http://schemas.openxmlformats.org/drawingml/2006/picture">
            <wp:extent cx="5486400" cy="1414821"/>
            <wp:docPr id="7" name="Picture 7"/>
            <wp:cNvGraphicFramePr>
              <a:graphicFrameLocks noChangeAspect="1"/>
            </wp:cNvGraphicFramePr>
            <a:graphic>
              <a:graphicData uri="http://schemas.openxmlformats.org/drawingml/2006/picture">
                <pic:pic>
                  <pic:nvPicPr>
                    <pic:cNvPr id="0" name="diagnostic_rubin_vase.png"/>
                    <pic:cNvPicPr/>
                  </pic:nvPicPr>
                  <pic:blipFill>
                    <a:blip r:embed="rId15"/>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Rubin's Vase Silhouette</w:t>
      </w:r>
    </w:p>
    <w:p>
      <w:pPr>
        <w:spacing w:after="120" w:line="276" w:lineRule="auto"/>
        <w:jc w:val="left"/>
      </w:pPr>
      <w:r>
        <w:rPr>
          <w:rFonts w:ascii="Times New Roman" w:hAnsi="Times New Roman"/>
          <w:b w:val="0"/>
          <w:i w:val="0"/>
          <w:color w:val="222222"/>
          <w:sz w:val="22"/>
        </w:rPr>
      </w:r>
    </w:p>
    <w:p>
      <w:pPr>
        <w:keepNext/>
        <w:spacing w:before="200" w:after="60"/>
      </w:pPr>
      <w:r>
        <w:rPr>
          <w:rFonts w:ascii="Times New Roman" w:hAnsi="Times New Roman"/>
          <w:b/>
          <w:color w:val="1B365D"/>
          <w:sz w:val="26"/>
        </w:rPr>
        <w:t>Case Study: Simultaneous Contrast</w:t>
      </w:r>
    </w:p>
    <w:p>
      <w:pPr>
        <w:spacing w:after="120" w:line="276" w:lineRule="auto"/>
        <w:jc w:val="left"/>
      </w:pPr>
      <w:r>
        <w:rPr>
          <w:rFonts w:ascii="Times New Roman" w:hAnsi="Times New Roman"/>
          <w:b w:val="0"/>
          <w:i/>
          <w:color w:val="222222"/>
          <w:sz w:val="20"/>
        </w:rPr>
        <w:t>Category: Brightness &amp; Contrast | Primary Gating: Optical Illusion (88.00% conf)</w:t>
      </w:r>
    </w:p>
    <w:p>
      <w:pPr>
        <w:spacing w:after="120" w:line="276" w:lineRule="auto"/>
        <w:jc w:val="left"/>
      </w:pPr>
      <w:r>
        <w:rPr>
          <w:rFonts w:ascii="Times New Roman" w:hAnsi="Times New Roman"/>
          <w:b w:val="0"/>
          <w:i w:val="0"/>
          <w:color w:val="222222"/>
          <w:sz w:val="22"/>
        </w:rPr>
        <w:t>Perceptual Mechanism: Identical gray center target patches on dark vs. light surrounds appear to have different brightness due to center-surround contrast induction.</w:t>
      </w:r>
    </w:p>
    <w:p>
      <w:r>
        <w:drawing>
          <wp:inline xmlns:a="http://schemas.openxmlformats.org/drawingml/2006/main" xmlns:pic="http://schemas.openxmlformats.org/drawingml/2006/picture">
            <wp:extent cx="5486400" cy="1414821"/>
            <wp:docPr id="8" name="Picture 8"/>
            <wp:cNvGraphicFramePr>
              <a:graphicFrameLocks noChangeAspect="1"/>
            </wp:cNvGraphicFramePr>
            <a:graphic>
              <a:graphicData uri="http://schemas.openxmlformats.org/drawingml/2006/picture">
                <pic:pic>
                  <pic:nvPicPr>
                    <pic:cNvPr id="0" name="diagnostic_simultaneous_contrast.png"/>
                    <pic:cNvPicPr/>
                  </pic:nvPicPr>
                  <pic:blipFill>
                    <a:blip r:embed="rId16"/>
                    <a:stretch>
                      <a:fillRect/>
                    </a:stretch>
                  </pic:blipFill>
                  <pic:spPr>
                    <a:xfrm>
                      <a:off x="0" y="0"/>
                      <a:ext cx="5486400" cy="1414821"/>
                    </a:xfrm>
                    <a:prstGeom prst="rect"/>
                  </pic:spPr>
                </pic:pic>
              </a:graphicData>
            </a:graphic>
          </wp:inline>
        </w:drawing>
      </w:r>
    </w:p>
    <w:p>
      <w:pPr>
        <w:spacing w:after="200"/>
        <w:jc w:val="center"/>
      </w:pPr>
      <w:r>
        <w:rPr>
          <w:rFonts w:ascii="Times New Roman" w:hAnsi="Times New Roman"/>
          <w:i/>
          <w:sz w:val="19"/>
        </w:rPr>
        <w:t>Figure: 4-Panel Perception-X Diagnostic Card for Simultaneous Contrast</w:t>
      </w:r>
    </w:p>
    <w:p>
      <w:pPr>
        <w:spacing w:after="120" w:line="276" w:lineRule="auto"/>
        <w:jc w:val="left"/>
      </w:pPr>
      <w:r>
        <w:rPr>
          <w:rFonts w:ascii="Times New Roman" w:hAnsi="Times New Roman"/>
          <w:b w:val="0"/>
          <w:i w:val="0"/>
          <w:color w:val="222222"/>
          <w:sz w:val="22"/>
        </w:rPr>
      </w:r>
    </w:p>
    <w:p>
      <w:pPr>
        <w:keepNext/>
        <w:spacing w:before="280" w:after="80"/>
      </w:pPr>
      <w:r>
        <w:rPr>
          <w:rFonts w:ascii="Times New Roman" w:hAnsi="Times New Roman"/>
          <w:b/>
          <w:color w:val="0A2540"/>
          <w:sz w:val="30"/>
        </w:rPr>
        <w:t>4. CODEBASE STRUCTURE &amp; EXECUTION INSTRUCTIONS</w:t>
      </w:r>
    </w:p>
    <w:p>
      <w:pPr>
        <w:spacing w:after="120" w:line="276" w:lineRule="auto"/>
        <w:jc w:val="left"/>
      </w:pPr>
      <w:r>
        <w:rPr>
          <w:rFonts w:ascii="Times New Roman" w:hAnsi="Times New Roman"/>
          <w:b w:val="0"/>
          <w:i w:val="0"/>
          <w:color w:val="222222"/>
          <w:sz w:val="22"/>
        </w:rPr>
        <w:t>The complete system is organized in perception_x_optical_illusion/ with modular components:</w:t>
      </w:r>
    </w:p>
    <w:p>
      <w:pPr>
        <w:spacing w:after="240" w:line="276" w:lineRule="auto"/>
        <w:jc w:val="left"/>
      </w:pPr>
      <w:r>
        <w:rPr>
          <w:rFonts w:ascii="Times New Roman" w:hAnsi="Times New Roman"/>
          <w:b w:val="0"/>
          <w:i w:val="0"/>
          <w:color w:val="222222"/>
          <w:sz w:val="17"/>
        </w:rPr>
        <w:t>perception_x_optical_illusion/</w:t>
        <w:br/>
        <w:t>├── docs/                                    # Markdown documentation suite</w:t>
        <w:br/>
        <w:t>│   ├── LITERATURE_REVIEW.md                 # Full 5-paper review &amp; Table 1.1</w:t>
        <w:br/>
        <w:t>│   ├── DATASETS_GUIDE.md                    # Dataset schemas &amp; import snippets</w:t>
        <w:br/>
        <w:t>│   ├── SYSTEM_WORKFLOW_AND_ARCHITECTURE.md  # 7-stage technical workflow</w:t>
        <w:br/>
        <w:t>│   └── HANDS_ON_GUIDE.md                    # Tutorial &amp; custom image testing</w:t>
        <w:br/>
        <w:t>├── data/</w:t>
        <w:br/>
        <w:t>│   ├── dataset_catalog.json                 # Metadata catalog</w:t>
        <w:br/>
        <w:t>│   ├── dataset_importers.py                 # Importers for IllusionVQA, CASIA, etc.</w:t>
        <w:br/>
        <w:t>│   ├── synthetic_generators.py              # Procedural illusion stimuli generator</w:t>
        <w:br/>
        <w:t>│   └── samples/                             # 8 test stimuli PNGs</w:t>
        <w:br/>
        <w:t>├── core/</w:t>
        <w:br/>
        <w:t>│   ├── feature_extractor.py                 # Luminance, 2D FFT, Localized ELA, Symmetry</w:t>
        <w:br/>
        <w:t>│   ├── ambiguity_engine.py                  # Quantum-tunnelling bistability solver</w:t>
        <w:br/>
        <w:t>│   ├── explainability.py                    # Causal heatmap overlay &amp; bounding box</w:t>
        <w:br/>
        <w:t>│   └── reasoning_engine.py                  # Cognitive perceptual reasoner</w:t>
        <w:br/>
        <w:t>├── models/</w:t>
        <w:br/>
        <w:t>│   └── perception_x_pipeline.py             # 5-stage hierarchical classification engine</w:t>
        <w:br/>
        <w:t>├── outputs/                                 # 8 high-resolution 4-panel diagnostic PNGs</w:t>
        <w:br/>
        <w:t>├── hands_on_demo.py                         # Interactive test runner</w:t>
        <w:br/>
        <w:t>└── generate_docx_report.py                  # Word report generator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