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120"/>
        <w:jc w:val="center"/>
      </w:pPr>
      <w:r>
        <w:rPr>
          <w:b/>
          <w:bCs/>
          <w:color w:val="2E5496"/>
          <w:sz w:val="30"/>
          <w:szCs w:val="30"/>
        </w:rPr>
        <w:t xml:space="preserve">RAPPORT DE PROJET</w:t>
      </w:r>
    </w:p>
    <w:p>
      <w:pPr>
        <w:spacing w:after="600"/>
        <w:jc w:val="center"/>
      </w:pPr>
      <w:r>
        <w:rPr>
          <w:color w:val="595959"/>
          <w:sz w:val="24"/>
          <w:szCs w:val="24"/>
        </w:rPr>
        <w:t xml:space="preserve">Ingénierie des Données — Data Engineering</w:t>
      </w:r>
    </w:p>
    <w:p>
      <w:pPr>
        <w:spacing w:after="200"/>
        <w:jc w:val="center"/>
      </w:pPr>
      <w:r>
        <w:rPr>
          <w:b/>
          <w:bCs/>
          <w:color w:val="1F3864"/>
          <w:sz w:val="40"/>
          <w:szCs w:val="40"/>
        </w:rPr>
        <w:t xml:space="preserve">Conception et réalisation d’un pipeline de données de bout en bout</w:t>
      </w:r>
    </w:p>
    <w:p>
      <w:pPr>
        <w:spacing w:after="800"/>
        <w:jc w:val="center"/>
      </w:pPr>
      <w:r>
        <w:rPr>
          <w:color w:val="1F3864"/>
          <w:sz w:val="32"/>
          <w:szCs w:val="32"/>
        </w:rPr>
        <w:t xml:space="preserve">Chaîne d’approvisionnement et logistique</w:t>
      </w:r>
    </w:p>
    <w:p>
      <w:pPr>
        <w:spacing w:after="100"/>
        <w:jc w:val="center"/>
      </w:pPr>
      <w:r>
        <w:rPr>
          <w:i/>
          <w:iCs/>
          <w:color w:val="404040"/>
          <w:sz w:val="20"/>
          <w:szCs w:val="20"/>
        </w:rPr>
        <w:t xml:space="preserve">SQL Server · SSIS · Azure Data Factory · Azure Data Lake Storage Gen2</w:t>
      </w:r>
    </w:p>
    <w:p>
      <w:pPr>
        <w:spacing w:after="1200"/>
        <w:jc w:val="center"/>
      </w:pPr>
      <w:r>
        <w:rPr>
          <w:i/>
          <w:iCs/>
          <w:color w:val="404040"/>
          <w:sz w:val="20"/>
          <w:szCs w:val="20"/>
        </w:rPr>
        <w:t xml:space="preserve">Microsoft Fabric · PySpark · Delta Lake · Power BI</w:t>
      </w:r>
    </w:p>
    <w:p>
      <w:pPr>
        <w:spacing w:after="80"/>
        <w:jc w:val="center"/>
      </w:pPr>
      <w:r>
        <w:rPr>
          <w:b/>
          <w:bCs/>
          <w:sz w:val="24"/>
          <w:szCs w:val="24"/>
        </w:rPr>
        <w:t xml:space="preserve">Harishankar Murugan</w:t>
      </w:r>
    </w:p>
    <w:p>
      <w:pPr>
        <w:spacing w:after="400"/>
        <w:jc w:val="center"/>
      </w:pPr>
      <w:r>
        <w:rPr>
          <w:color w:val="595959"/>
          <w:sz w:val="22"/>
          <w:szCs w:val="22"/>
        </w:rPr>
        <w:t xml:space="preserve">Septembre 2026</w:t>
      </w:r>
    </w:p>
    <w:p>
      <w:pPr>
        <w:pStyle w:val="Heading1"/>
        <w:pageBreakBefore/>
        <w:spacing w:after="200" w:before="0"/>
      </w:pPr>
      <w:r>
        <w:rPr>
          <w:b/>
          <w:bCs/>
          <w:color w:val="1F3864"/>
          <w:sz w:val="32"/>
          <w:szCs w:val="32"/>
        </w:rPr>
        <w:t xml:space="preserve">Sommaire</w:t>
      </w:r>
    </w:p>
    <w:p>
      <w:pPr>
        <w:spacing w:after="240" w:line="276"/>
      </w:pPr>
      <w:r>
        <w:rPr>
          <w:i/>
          <w:iCs/>
          <w:color w:val="808080"/>
          <w:sz w:val="18"/>
          <w:szCs w:val="18"/>
        </w:rPr>
        <w:t xml:space="preserve">Sommaire automatique. Pour l’afficher ou l’actualiser dans Word : clic droit sur la zone ci-dessous puis « Mettre à jour les champs », ou Ctrl+A suivi de F9.</w:t>
      </w:r>
    </w:p>
    <w:sdt>
      <w:sdtPr>
        <w:alias w:val="Sommaire"/>
      </w:sdtPr>
      <w:sdtContent>
        <w:p>
          <w:r>
            <w:fldChar w:fldCharType="begin" w:dirty="true"/>
            <w:instrText xml:space="preserve">TOC \h \o "1-3"</w:instrText>
            <w:fldChar w:fldCharType="separate"/>
          </w:r>
        </w:p>
        <w:p>
          <w:r>
            <w:fldChar w:fldCharType="end"/>
          </w:r>
        </w:p>
      </w:sdtContent>
    </w:sdt>
    <w:p>
      <w:pPr>
        <w:pStyle w:val="Heading1"/>
        <w:pageBreakBefore/>
        <w:spacing w:after="200" w:before="0"/>
      </w:pPr>
      <w:r>
        <w:rPr>
          <w:b/>
          <w:bCs/>
          <w:color w:val="1F3864"/>
          <w:sz w:val="32"/>
          <w:szCs w:val="32"/>
        </w:rPr>
        <w:t xml:space="preserve">1. Résumé exécutif</w:t>
      </w:r>
    </w:p>
    <w:p>
      <w:pPr>
        <w:spacing w:after="120" w:line="276"/>
      </w:pPr>
      <w:r>
        <w:rPr>
          <w:sz w:val="22"/>
          <w:szCs w:val="22"/>
        </w:rPr>
        <w:t xml:space="preserve">Ce rapport présente la conception, la réalisation et la mise en production d’un pipeline de données complet appliqué au domaine de la chaîne d’approvisionnement et de la logistique. Le projet est aujourd’hui terminé : l’ensemble des sept phases prévues a été réalisé, testé et validé de bout en bout.</w:t>
      </w:r>
    </w:p>
    <w:p>
      <w:pPr>
        <w:spacing w:after="120" w:line="276"/>
      </w:pPr>
      <w:r>
        <w:rPr>
          <w:sz w:val="22"/>
          <w:szCs w:val="22"/>
        </w:rPr>
        <w:t xml:space="preserve">Le pipeline prend en charge le parcours complet de la donnée, depuis une base transactionnelle SQL Server jusqu’à un tableau de bord décisionnel Power BI, en passant par une extraction incrémentale SSIS, une ingestion cloud orchestrée par Azure Data Factory, un stockage objet dans Azure Data Lake Storage Gen2, puis une transformation en architecture Medallion (bronze / silver / gold) au sein de Microsoft Fabric.</w:t>
      </w:r>
    </w:p>
    <w:p>
      <w:pPr>
        <w:spacing w:after="120" w:line="276"/>
      </w:pPr>
      <w:r>
        <w:rPr>
          <w:sz w:val="22"/>
          <w:szCs w:val="22"/>
        </w:rPr>
        <w:t xml:space="preserve">Le volume traité est de 180 519 lignes de commandes, réparties sur 53 colonnes, couvrant la période 2015-2018 et une couverture géographique mondiale. L’intégrité de ce volume a été vérifiée à chaque étape du parcours : le nombre de lignes est strictement identique de la table de staging SQL Server jusqu’à la table de faits finale, ce qui atteste qu’aucune donnée n’a été perdue ni dupliquée durant les transformations.</w:t>
      </w:r>
    </w:p>
    <w:p>
      <w:pPr>
        <w:pStyle w:val="Heading2"/>
        <w:spacing w:after="140" w:before="280"/>
      </w:pPr>
      <w:r>
        <w:rPr>
          <w:b/>
          <w:bCs/>
          <w:color w:val="2E5496"/>
          <w:sz w:val="26"/>
          <w:szCs w:val="26"/>
        </w:rPr>
        <w:t xml:space="preserve">1.1 Technologies mises en œuvre</w:t>
      </w:r>
    </w:p>
    <w:p>
      <w:pPr>
        <w:spacing w:after="120" w:line="276"/>
      </w:pPr>
      <w:r>
        <w:rPr>
          <w:sz w:val="22"/>
          <w:szCs w:val="22"/>
        </w:rPr>
        <w:t xml:space="preserve">Le projet mobilise une chaîne technologique volontairement hétérogène, représentative des environnements hybrides réellement rencontrés en entreprise, où coexistent des outils ETL traditionnels on-premise et des plateformes cloud modernes :</w:t>
      </w:r>
    </w:p>
    <w:p>
      <w:pPr>
        <w:pStyle w:val="ListParagraph"/>
        <w:numPr>
          <w:ilvl w:val="0"/>
          <w:numId w:val="2"/>
        </w:numPr>
        <w:spacing w:after="80" w:line="276"/>
      </w:pPr>
      <w:r>
        <w:rPr>
          <w:sz w:val="22"/>
          <w:szCs w:val="22"/>
        </w:rPr>
        <w:t xml:space="preserve">Microsoft SQL Server — base de données relationnelle de staging</w:t>
      </w:r>
    </w:p>
    <w:p>
      <w:pPr>
        <w:pStyle w:val="ListParagraph"/>
        <w:numPr>
          <w:ilvl w:val="0"/>
          <w:numId w:val="2"/>
        </w:numPr>
        <w:spacing w:after="80" w:line="276"/>
      </w:pPr>
      <w:r>
        <w:rPr>
          <w:sz w:val="22"/>
          <w:szCs w:val="22"/>
        </w:rPr>
        <w:t xml:space="preserve">SQL Server Integration Services (SSIS) — extraction incrémentale avec gestion de filigrane (watermark) et journal d’audit</w:t>
      </w:r>
    </w:p>
    <w:p>
      <w:pPr>
        <w:pStyle w:val="ListParagraph"/>
        <w:numPr>
          <w:ilvl w:val="0"/>
          <w:numId w:val="2"/>
        </w:numPr>
        <w:spacing w:after="80" w:line="276"/>
      </w:pPr>
      <w:r>
        <w:rPr>
          <w:sz w:val="22"/>
          <w:szCs w:val="22"/>
        </w:rPr>
        <w:t xml:space="preserve">Azure Data Factory (ADF) — orchestration de l’ingestion vers le cloud</w:t>
      </w:r>
    </w:p>
    <w:p>
      <w:pPr>
        <w:pStyle w:val="ListParagraph"/>
        <w:numPr>
          <w:ilvl w:val="0"/>
          <w:numId w:val="2"/>
        </w:numPr>
        <w:spacing w:after="80" w:line="276"/>
      </w:pPr>
      <w:r>
        <w:rPr>
          <w:sz w:val="22"/>
          <w:szCs w:val="22"/>
        </w:rPr>
        <w:t xml:space="preserve">Azure Data Lake Storage Gen2 — stockage objet de la couche bronze au format Parquet</w:t>
      </w:r>
    </w:p>
    <w:p>
      <w:pPr>
        <w:pStyle w:val="ListParagraph"/>
        <w:numPr>
          <w:ilvl w:val="0"/>
          <w:numId w:val="2"/>
        </w:numPr>
        <w:spacing w:after="80" w:line="276"/>
      </w:pPr>
      <w:r>
        <w:rPr>
          <w:sz w:val="22"/>
          <w:szCs w:val="22"/>
        </w:rPr>
        <w:t xml:space="preserve">Microsoft Fabric — Lakehouse, OneLake, raccourcis (shortcuts), notebooks PySpark, Warehouse et pipelines natifs</w:t>
      </w:r>
    </w:p>
    <w:p>
      <w:pPr>
        <w:pStyle w:val="ListParagraph"/>
        <w:numPr>
          <w:ilvl w:val="0"/>
          <w:numId w:val="2"/>
        </w:numPr>
        <w:spacing w:after="80" w:line="276"/>
      </w:pPr>
      <w:r>
        <w:rPr>
          <w:sz w:val="22"/>
          <w:szCs w:val="22"/>
        </w:rPr>
        <w:t xml:space="preserve">Apache Spark / PySpark — moteur de transformation distribué</w:t>
      </w:r>
    </w:p>
    <w:p>
      <w:pPr>
        <w:pStyle w:val="ListParagraph"/>
        <w:numPr>
          <w:ilvl w:val="0"/>
          <w:numId w:val="2"/>
        </w:numPr>
        <w:spacing w:after="80" w:line="276"/>
      </w:pPr>
      <w:r>
        <w:rPr>
          <w:sz w:val="22"/>
          <w:szCs w:val="22"/>
        </w:rPr>
        <w:t xml:space="preserve">Delta Lake — format de table transactionnel (ACID) pour les couches silver et gold</w:t>
      </w:r>
    </w:p>
    <w:p>
      <w:pPr>
        <w:pStyle w:val="ListParagraph"/>
        <w:numPr>
          <w:ilvl w:val="0"/>
          <w:numId w:val="2"/>
        </w:numPr>
        <w:spacing w:after="80" w:line="276"/>
      </w:pPr>
      <w:r>
        <w:rPr>
          <w:sz w:val="22"/>
          <w:szCs w:val="22"/>
        </w:rPr>
        <w:t xml:space="preserve">T-SQL — création de vues analytiques dans l’entrepôt Fabric</w:t>
      </w:r>
    </w:p>
    <w:p>
      <w:pPr>
        <w:pStyle w:val="ListParagraph"/>
        <w:numPr>
          <w:ilvl w:val="0"/>
          <w:numId w:val="2"/>
        </w:numPr>
        <w:spacing w:after="80" w:line="276"/>
      </w:pPr>
      <w:r>
        <w:rPr>
          <w:sz w:val="22"/>
          <w:szCs w:val="22"/>
        </w:rPr>
        <w:t xml:space="preserve">Power BI Desktop et Power BI Service — modélisation dimensionnelle, mesures DAX et restitution visuelle</w:t>
      </w:r>
    </w:p>
    <w:p>
      <w:pPr>
        <w:pStyle w:val="Heading2"/>
        <w:spacing w:after="140" w:before="280"/>
      </w:pPr>
      <w:r>
        <w:rPr>
          <w:b/>
          <w:bCs/>
          <w:color w:val="2E5496"/>
          <w:sz w:val="26"/>
          <w:szCs w:val="26"/>
        </w:rPr>
        <w:t xml:space="preserve">1.2 Principaux résultats</w:t>
      </w:r>
    </w:p>
    <w:p>
      <w:pPr>
        <w:spacing w:after="120" w:line="276"/>
      </w:pPr>
      <w:r>
        <w:rPr>
          <w:sz w:val="22"/>
          <w:szCs w:val="22"/>
        </w:rPr>
        <w:t xml:space="preserve">Le tableau de bord final met en évidence plusieurs constats métier significatifs, notamment un taux de livraison à temps de 43 %, un délai moyen d’expédition de 3,50 jours et un chiffre d’affaires cumulé de 36,78 millions d’euros sur la période étudiée. Ces indicateurs révèlent une problématique réelle de performance logistique, exploitable pour un plan d’action opérationnel.</w:t>
      </w:r>
    </w:p>
    <w:p>
      <w:pPr>
        <w:pStyle w:val="Heading1"/>
        <w:pageBreakBefore/>
        <w:spacing w:after="200" w:before="0"/>
      </w:pPr>
      <w:r>
        <w:rPr>
          <w:b/>
          <w:bCs/>
          <w:color w:val="1F3864"/>
          <w:sz w:val="32"/>
          <w:szCs w:val="32"/>
        </w:rPr>
        <w:t xml:space="preserve">2. Introduction et contexte</w:t>
      </w:r>
    </w:p>
    <w:p>
      <w:pPr>
        <w:pStyle w:val="Heading2"/>
        <w:spacing w:after="140" w:before="280"/>
      </w:pPr>
      <w:r>
        <w:rPr>
          <w:b/>
          <w:bCs/>
          <w:color w:val="2E5496"/>
          <w:sz w:val="26"/>
          <w:szCs w:val="26"/>
        </w:rPr>
        <w:t xml:space="preserve">2.1 Contexte du projet</w:t>
      </w:r>
    </w:p>
    <w:p>
      <w:pPr>
        <w:spacing w:after="120" w:line="276"/>
      </w:pPr>
      <w:r>
        <w:rPr>
          <w:sz w:val="22"/>
          <w:szCs w:val="22"/>
        </w:rPr>
        <w:t xml:space="preserve">La chaîne d’approvisionnement constitue un domaine particulièrement riche pour l’ingénierie des données : les volumes sont importants, les sources hétérogènes, et les indicateurs de performance (délais, taux de service, marges) ont une valeur métier immédiate. Ce projet a été conçu comme un projet d’ingénierie des données « pur », c’est-à-dire centré sur la construction du pipeline lui-même — fiabilité, traçabilité, qualité et automatisation — plutôt que sur la modélisation statistique ou l’apprentissage automatique.</w:t>
      </w:r>
    </w:p>
    <w:p>
      <w:pPr>
        <w:pStyle w:val="Heading2"/>
        <w:spacing w:after="140" w:before="280"/>
      </w:pPr>
      <w:r>
        <w:rPr>
          <w:b/>
          <w:bCs/>
          <w:color w:val="2E5496"/>
          <w:sz w:val="26"/>
          <w:szCs w:val="26"/>
        </w:rPr>
        <w:t xml:space="preserve">2.2 Objectifs</w:t>
      </w:r>
    </w:p>
    <w:p>
      <w:pPr>
        <w:spacing w:after="120" w:line="276"/>
      </w:pPr>
      <w:r>
        <w:rPr>
          <w:sz w:val="22"/>
          <w:szCs w:val="22"/>
        </w:rPr>
        <w:t xml:space="preserve">Les objectifs fixés en début de projet étaient les suivants :</w:t>
      </w:r>
    </w:p>
    <w:p>
      <w:pPr>
        <w:pStyle w:val="ListParagraph"/>
        <w:numPr>
          <w:ilvl w:val="0"/>
          <w:numId w:val="3"/>
        </w:numPr>
        <w:spacing w:after="80" w:line="276"/>
      </w:pPr>
      <w:r>
        <w:rPr>
          <w:sz w:val="22"/>
          <w:szCs w:val="22"/>
        </w:rPr>
        <w:t xml:space="preserve">Construire une chaîne d’ingestion incrémentale depuis une base relationnelle, capable de ne traiter que les nouvelles données à chaque exécution.</w:t>
      </w:r>
    </w:p>
    <w:p>
      <w:pPr>
        <w:pStyle w:val="ListParagraph"/>
        <w:numPr>
          <w:ilvl w:val="0"/>
          <w:numId w:val="3"/>
        </w:numPr>
        <w:spacing w:after="80" w:line="276"/>
      </w:pPr>
      <w:r>
        <w:rPr>
          <w:sz w:val="22"/>
          <w:szCs w:val="22"/>
        </w:rPr>
        <w:t xml:space="preserve">Mettre en place une architecture Medallion (bronze, silver, gold) conforme aux bonnes pratiques de l’industrie.</w:t>
      </w:r>
    </w:p>
    <w:p>
      <w:pPr>
        <w:pStyle w:val="ListParagraph"/>
        <w:numPr>
          <w:ilvl w:val="0"/>
          <w:numId w:val="3"/>
        </w:numPr>
        <w:spacing w:after="80" w:line="276"/>
      </w:pPr>
      <w:r>
        <w:rPr>
          <w:sz w:val="22"/>
          <w:szCs w:val="22"/>
        </w:rPr>
        <w:t xml:space="preserve">Garantir la qualité et la traçabilité des données par des contrôles automatisés à chaque couche.</w:t>
      </w:r>
    </w:p>
    <w:p>
      <w:pPr>
        <w:pStyle w:val="ListParagraph"/>
        <w:numPr>
          <w:ilvl w:val="0"/>
          <w:numId w:val="3"/>
        </w:numPr>
        <w:spacing w:after="80" w:line="276"/>
      </w:pPr>
      <w:r>
        <w:rPr>
          <w:sz w:val="22"/>
          <w:szCs w:val="22"/>
        </w:rPr>
        <w:t xml:space="preserve">Modéliser les données selon un schéma en étoile optimisé pour l’analyse.</w:t>
      </w:r>
    </w:p>
    <w:p>
      <w:pPr>
        <w:pStyle w:val="ListParagraph"/>
        <w:numPr>
          <w:ilvl w:val="0"/>
          <w:numId w:val="3"/>
        </w:numPr>
        <w:spacing w:after="80" w:line="276"/>
      </w:pPr>
      <w:r>
        <w:rPr>
          <w:sz w:val="22"/>
          <w:szCs w:val="22"/>
        </w:rPr>
        <w:t xml:space="preserve">Automatiser l’exécution de l’ensemble de la chaîne par une orchestration planifiable.</w:t>
      </w:r>
    </w:p>
    <w:p>
      <w:pPr>
        <w:pStyle w:val="ListParagraph"/>
        <w:numPr>
          <w:ilvl w:val="0"/>
          <w:numId w:val="3"/>
        </w:numPr>
        <w:spacing w:after="80" w:line="276"/>
      </w:pPr>
      <w:r>
        <w:rPr>
          <w:sz w:val="22"/>
          <w:szCs w:val="22"/>
        </w:rPr>
        <w:t xml:space="preserve">Restituer les résultats dans un tableau de bord décisionnel exploitable par un utilisateur métier.</w:t>
      </w:r>
    </w:p>
    <w:p>
      <w:pPr>
        <w:pStyle w:val="Heading2"/>
        <w:spacing w:after="140" w:before="280"/>
      </w:pPr>
      <w:r>
        <w:rPr>
          <w:b/>
          <w:bCs/>
          <w:color w:val="2E5496"/>
          <w:sz w:val="26"/>
          <w:szCs w:val="26"/>
        </w:rPr>
        <w:t xml:space="preserve">2.3 Périmètre</w:t>
      </w:r>
    </w:p>
    <w:p>
      <w:pPr>
        <w:spacing w:after="120" w:line="276"/>
      </w:pPr>
      <w:r>
        <w:rPr>
          <w:sz w:val="22"/>
          <w:szCs w:val="22"/>
        </w:rPr>
        <w:t xml:space="preserve">Le périmètre couvre l’intégralité du cycle de vie de la donnée analytique, de la source transactionnelle à la visualisation. Il n’inclut pas la production des données sources elles-mêmes (le jeu de données est fourni), ni la mise en place d’une gouvernance d’entreprise complète (catalogue, lignage automatisé, gestion des habilitations à l’échelle de l’organisation), qui relèveraient d’un projet distinct.</w:t>
      </w:r>
    </w:p>
    <w:p>
      <w:pPr>
        <w:pStyle w:val="Heading1"/>
        <w:pageBreakBefore/>
        <w:spacing w:after="200" w:before="0"/>
      </w:pPr>
      <w:r>
        <w:rPr>
          <w:b/>
          <w:bCs/>
          <w:color w:val="1F3864"/>
          <w:sz w:val="32"/>
          <w:szCs w:val="32"/>
        </w:rPr>
        <w:t xml:space="preserve">3. Présentation du jeu de données</w:t>
      </w:r>
    </w:p>
    <w:p>
      <w:pPr>
        <w:spacing w:after="120" w:line="276"/>
      </w:pPr>
      <w:r>
        <w:rPr>
          <w:sz w:val="22"/>
          <w:szCs w:val="22"/>
        </w:rPr>
        <w:t xml:space="preserve">Le jeu de données décrit l’activité commerciale et logistique d’un distributeur multi-catégories opérant à l’échelle mondiale. Chaque ligne correspond à une ligne de commande (order item), c’est-à-dire au niveau de granularité le plus fin disponible.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9E2F3" w:val="clear"/>
            <w:tcMar>
              <w:top w:type="dxa" w:w="80"/>
              <w:left w:type="dxa" w:w="110"/>
              <w:bottom w:type="dxa" w:w="80"/>
              <w:right w:type="dxa" w:w="110"/>
            </w:tcMar>
          </w:tcPr>
          <w:p>
            <w:pPr>
              <w:spacing w:after="0" w:line="240"/>
            </w:pPr>
            <w:r>
              <w:rPr>
                <w:b/>
                <w:bCs/>
                <w:sz w:val="19"/>
                <w:szCs w:val="19"/>
              </w:rPr>
              <w:t xml:space="preserve">Caractéristique</w:t>
            </w:r>
          </w:p>
        </w:tc>
        <w:tc>
          <w:tcPr>
            <w:tcW w:type="dxa" w:w="5826"/>
            <w:shd w:fill="D9E2F3" w:val="clear"/>
            <w:tcMar>
              <w:top w:type="dxa" w:w="80"/>
              <w:left w:type="dxa" w:w="110"/>
              <w:bottom w:type="dxa" w:w="80"/>
              <w:right w:type="dxa" w:w="110"/>
            </w:tcMar>
          </w:tcPr>
          <w:p>
            <w:pPr>
              <w:spacing w:after="0" w:line="240"/>
            </w:pPr>
            <w:r>
              <w:rPr>
                <w:b/>
                <w:bCs/>
                <w:sz w:val="19"/>
                <w:szCs w:val="19"/>
              </w:rPr>
              <w:t xml:space="preserve">Valeur</w:t>
            </w:r>
          </w:p>
        </w:tc>
      </w:tr>
      <w:tr>
        <w:trPr>
          <w:tblHeader w:val="false"/>
        </w:trPr>
        <w:tc>
          <w:tcPr>
            <w:tcW w:type="dxa" w:w="3200"/>
            <w:tcMar>
              <w:top w:type="dxa" w:w="80"/>
              <w:left w:type="dxa" w:w="110"/>
              <w:bottom w:type="dxa" w:w="80"/>
              <w:right w:type="dxa" w:w="110"/>
            </w:tcMar>
          </w:tcPr>
          <w:p>
            <w:pPr>
              <w:spacing w:after="0" w:line="240"/>
            </w:pPr>
            <w:r>
              <w:rPr>
                <w:b w:val="false"/>
                <w:bCs w:val="false"/>
                <w:sz w:val="19"/>
                <w:szCs w:val="19"/>
              </w:rPr>
              <w:t xml:space="preserve">Nombre de lignes</w:t>
            </w:r>
          </w:p>
        </w:tc>
        <w:tc>
          <w:tcPr>
            <w:tcW w:type="dxa" w:w="5826"/>
            <w:tcMar>
              <w:top w:type="dxa" w:w="80"/>
              <w:left w:type="dxa" w:w="110"/>
              <w:bottom w:type="dxa" w:w="80"/>
              <w:right w:type="dxa" w:w="110"/>
            </w:tcMar>
          </w:tcPr>
          <w:p>
            <w:pPr>
              <w:spacing w:after="0" w:line="240"/>
            </w:pPr>
            <w:r>
              <w:rPr>
                <w:b w:val="false"/>
                <w:bCs w:val="false"/>
                <w:sz w:val="19"/>
                <w:szCs w:val="19"/>
              </w:rPr>
              <w:t xml:space="preserve">180 519</w:t>
            </w:r>
          </w:p>
        </w:tc>
      </w:tr>
      <w:tr>
        <w:trPr>
          <w:tblHeader w:val="false"/>
        </w:trPr>
        <w:tc>
          <w:tcPr>
            <w:tcW w:type="dxa" w:w="3200"/>
            <w:tcMar>
              <w:top w:type="dxa" w:w="80"/>
              <w:left w:type="dxa" w:w="110"/>
              <w:bottom w:type="dxa" w:w="80"/>
              <w:right w:type="dxa" w:w="110"/>
            </w:tcMar>
          </w:tcPr>
          <w:p>
            <w:pPr>
              <w:spacing w:after="0" w:line="240"/>
            </w:pPr>
            <w:r>
              <w:rPr>
                <w:b w:val="false"/>
                <w:bCs w:val="false"/>
                <w:sz w:val="19"/>
                <w:szCs w:val="19"/>
              </w:rPr>
              <w:t xml:space="preserve">Nombre de colonnes</w:t>
            </w:r>
          </w:p>
        </w:tc>
        <w:tc>
          <w:tcPr>
            <w:tcW w:type="dxa" w:w="5826"/>
            <w:tcMar>
              <w:top w:type="dxa" w:w="80"/>
              <w:left w:type="dxa" w:w="110"/>
              <w:bottom w:type="dxa" w:w="80"/>
              <w:right w:type="dxa" w:w="110"/>
            </w:tcMar>
          </w:tcPr>
          <w:p>
            <w:pPr>
              <w:spacing w:after="0" w:line="240"/>
            </w:pPr>
            <w:r>
              <w:rPr>
                <w:b w:val="false"/>
                <w:bCs w:val="false"/>
                <w:sz w:val="19"/>
                <w:szCs w:val="19"/>
              </w:rPr>
              <w:t xml:space="preserve">53</w:t>
            </w:r>
          </w:p>
        </w:tc>
      </w:tr>
      <w:tr>
        <w:trPr>
          <w:tblHeader w:val="false"/>
        </w:trPr>
        <w:tc>
          <w:tcPr>
            <w:tcW w:type="dxa" w:w="3200"/>
            <w:tcMar>
              <w:top w:type="dxa" w:w="80"/>
              <w:left w:type="dxa" w:w="110"/>
              <w:bottom w:type="dxa" w:w="80"/>
              <w:right w:type="dxa" w:w="110"/>
            </w:tcMar>
          </w:tcPr>
          <w:p>
            <w:pPr>
              <w:spacing w:after="0" w:line="240"/>
            </w:pPr>
            <w:r>
              <w:rPr>
                <w:b w:val="false"/>
                <w:bCs w:val="false"/>
                <w:sz w:val="19"/>
                <w:szCs w:val="19"/>
              </w:rPr>
              <w:t xml:space="preserve">Période couverte</w:t>
            </w:r>
          </w:p>
        </w:tc>
        <w:tc>
          <w:tcPr>
            <w:tcW w:type="dxa" w:w="5826"/>
            <w:tcMar>
              <w:top w:type="dxa" w:w="80"/>
              <w:left w:type="dxa" w:w="110"/>
              <w:bottom w:type="dxa" w:w="80"/>
              <w:right w:type="dxa" w:w="110"/>
            </w:tcMar>
          </w:tcPr>
          <w:p>
            <w:pPr>
              <w:spacing w:after="0" w:line="240"/>
            </w:pPr>
            <w:r>
              <w:rPr>
                <w:b w:val="false"/>
                <w:bCs w:val="false"/>
                <w:sz w:val="19"/>
                <w:szCs w:val="19"/>
              </w:rPr>
              <w:t xml:space="preserve">2015 — 2018 (1 127 jours calendaires)</w:t>
            </w:r>
          </w:p>
        </w:tc>
      </w:tr>
      <w:tr>
        <w:trPr>
          <w:tblHeader w:val="false"/>
        </w:trPr>
        <w:tc>
          <w:tcPr>
            <w:tcW w:type="dxa" w:w="3200"/>
            <w:tcMar>
              <w:top w:type="dxa" w:w="80"/>
              <w:left w:type="dxa" w:w="110"/>
              <w:bottom w:type="dxa" w:w="80"/>
              <w:right w:type="dxa" w:w="110"/>
            </w:tcMar>
          </w:tcPr>
          <w:p>
            <w:pPr>
              <w:spacing w:after="0" w:line="240"/>
            </w:pPr>
            <w:r>
              <w:rPr>
                <w:b w:val="false"/>
                <w:bCs w:val="false"/>
                <w:sz w:val="19"/>
                <w:szCs w:val="19"/>
              </w:rPr>
              <w:t xml:space="preserve">Couverture géographique</w:t>
            </w:r>
          </w:p>
        </w:tc>
        <w:tc>
          <w:tcPr>
            <w:tcW w:type="dxa" w:w="5826"/>
            <w:tcMar>
              <w:top w:type="dxa" w:w="80"/>
              <w:left w:type="dxa" w:w="110"/>
              <w:bottom w:type="dxa" w:w="80"/>
              <w:right w:type="dxa" w:w="110"/>
            </w:tcMar>
          </w:tcPr>
          <w:p>
            <w:pPr>
              <w:spacing w:after="0" w:line="240"/>
            </w:pPr>
            <w:r>
              <w:rPr>
                <w:b w:val="false"/>
                <w:bCs w:val="false"/>
                <w:sz w:val="19"/>
                <w:szCs w:val="19"/>
              </w:rPr>
              <w:t xml:space="preserve">Mondiale (Amériques, Europe, Afrique, Asie, Océanie)</w:t>
            </w:r>
          </w:p>
        </w:tc>
      </w:tr>
      <w:tr>
        <w:trPr>
          <w:tblHeader w:val="false"/>
        </w:trPr>
        <w:tc>
          <w:tcPr>
            <w:tcW w:type="dxa" w:w="3200"/>
            <w:tcMar>
              <w:top w:type="dxa" w:w="80"/>
              <w:left w:type="dxa" w:w="110"/>
              <w:bottom w:type="dxa" w:w="80"/>
              <w:right w:type="dxa" w:w="110"/>
            </w:tcMar>
          </w:tcPr>
          <w:p>
            <w:pPr>
              <w:spacing w:after="0" w:line="240"/>
            </w:pPr>
            <w:r>
              <w:rPr>
                <w:b w:val="false"/>
                <w:bCs w:val="false"/>
                <w:sz w:val="19"/>
                <w:szCs w:val="19"/>
              </w:rPr>
              <w:t xml:space="preserve">Granularité</w:t>
            </w:r>
          </w:p>
        </w:tc>
        <w:tc>
          <w:tcPr>
            <w:tcW w:type="dxa" w:w="5826"/>
            <w:tcMar>
              <w:top w:type="dxa" w:w="80"/>
              <w:left w:type="dxa" w:w="110"/>
              <w:bottom w:type="dxa" w:w="80"/>
              <w:right w:type="dxa" w:w="110"/>
            </w:tcMar>
          </w:tcPr>
          <w:p>
            <w:pPr>
              <w:spacing w:after="0" w:line="240"/>
            </w:pPr>
            <w:r>
              <w:rPr>
                <w:b w:val="false"/>
                <w:bCs w:val="false"/>
                <w:sz w:val="19"/>
                <w:szCs w:val="19"/>
              </w:rPr>
              <w:t xml:space="preserve">Une ligne par ligne de commande (order item)</w:t>
            </w:r>
          </w:p>
        </w:tc>
      </w:tr>
      <w:tr>
        <w:trPr>
          <w:tblHeader w:val="false"/>
        </w:trPr>
        <w:tc>
          <w:tcPr>
            <w:tcW w:type="dxa" w:w="3200"/>
            <w:tcMar>
              <w:top w:type="dxa" w:w="80"/>
              <w:left w:type="dxa" w:w="110"/>
              <w:bottom w:type="dxa" w:w="80"/>
              <w:right w:type="dxa" w:w="110"/>
            </w:tcMar>
          </w:tcPr>
          <w:p>
            <w:pPr>
              <w:spacing w:after="0" w:line="240"/>
            </w:pPr>
            <w:r>
              <w:rPr>
                <w:b w:val="false"/>
                <w:bCs w:val="false"/>
                <w:sz w:val="19"/>
                <w:szCs w:val="19"/>
              </w:rPr>
              <w:t xml:space="preserve">Format d’arrivée dans le lac</w:t>
            </w:r>
          </w:p>
        </w:tc>
        <w:tc>
          <w:tcPr>
            <w:tcW w:type="dxa" w:w="5826"/>
            <w:tcMar>
              <w:top w:type="dxa" w:w="80"/>
              <w:left w:type="dxa" w:w="110"/>
              <w:bottom w:type="dxa" w:w="80"/>
              <w:right w:type="dxa" w:w="110"/>
            </w:tcMar>
          </w:tcPr>
          <w:p>
            <w:pPr>
              <w:spacing w:after="0" w:line="240"/>
            </w:pPr>
            <w:r>
              <w:rPr>
                <w:b w:val="false"/>
                <w:bCs w:val="false"/>
                <w:sz w:val="19"/>
                <w:szCs w:val="19"/>
              </w:rPr>
              <w:t xml:space="preserve">Parquet (23,55 Mo compressé)</w:t>
            </w:r>
          </w:p>
        </w:tc>
      </w:tr>
    </w:tbl>
    <w:p>
      <w:pPr>
        <w:spacing w:after="120" w:line="276"/>
      </w:pPr>
      <w:r>
        <w:rPr>
          <w:sz w:val="22"/>
          <w:szCs w:val="22"/>
        </w:rPr>
        <w:t xml:space="preserve"/>
      </w:r>
    </w:p>
    <w:p>
      <w:pPr>
        <w:pStyle w:val="Heading2"/>
        <w:spacing w:after="140" w:before="280"/>
      </w:pPr>
      <w:r>
        <w:rPr>
          <w:b/>
          <w:bCs/>
          <w:color w:val="2E5496"/>
          <w:sz w:val="26"/>
          <w:szCs w:val="26"/>
        </w:rPr>
        <w:t xml:space="preserve">3.1 Familles de colonnes</w:t>
      </w:r>
    </w:p>
    <w:p>
      <w:pPr>
        <w:spacing w:after="120" w:line="276"/>
      </w:pPr>
      <w:r>
        <w:rPr>
          <w:sz w:val="22"/>
          <w:szCs w:val="22"/>
        </w:rPr>
        <w:t xml:space="preserve">Les 53 colonnes se répartissent en grandes familles fonctionnelles :</w:t>
      </w:r>
    </w:p>
    <w:p>
      <w:pPr>
        <w:pStyle w:val="ListParagraph"/>
        <w:numPr>
          <w:ilvl w:val="0"/>
          <w:numId w:val="2"/>
        </w:numPr>
        <w:spacing w:after="80" w:line="276"/>
      </w:pPr>
      <w:r>
        <w:rPr>
          <w:sz w:val="22"/>
          <w:szCs w:val="22"/>
        </w:rPr>
        <w:t xml:space="preserve">Identifiants — Order_Id, Order_Item_Id, Customer_Id, Department_Id, Product_Card_Id, Category_Id</w:t>
      </w:r>
    </w:p>
    <w:p>
      <w:pPr>
        <w:pStyle w:val="ListParagraph"/>
        <w:numPr>
          <w:ilvl w:val="0"/>
          <w:numId w:val="2"/>
        </w:numPr>
        <w:spacing w:after="80" w:line="276"/>
      </w:pPr>
      <w:r>
        <w:rPr>
          <w:sz w:val="22"/>
          <w:szCs w:val="22"/>
        </w:rPr>
        <w:t xml:space="preserve">Client — nom, prénom, segment, adresse, ville, état, pays, code postal, courriel, mot de passe</w:t>
      </w:r>
    </w:p>
    <w:p>
      <w:pPr>
        <w:pStyle w:val="ListParagraph"/>
        <w:numPr>
          <w:ilvl w:val="0"/>
          <w:numId w:val="2"/>
        </w:numPr>
        <w:spacing w:after="80" w:line="276"/>
      </w:pPr>
      <w:r>
        <w:rPr>
          <w:sz w:val="22"/>
          <w:szCs w:val="22"/>
        </w:rPr>
        <w:t xml:space="preserve">Produit — nom, description, catégorie, département, prix, statut</w:t>
      </w:r>
    </w:p>
    <w:p>
      <w:pPr>
        <w:pStyle w:val="ListParagraph"/>
        <w:numPr>
          <w:ilvl w:val="0"/>
          <w:numId w:val="2"/>
        </w:numPr>
        <w:spacing w:after="80" w:line="276"/>
      </w:pPr>
      <w:r>
        <w:rPr>
          <w:sz w:val="22"/>
          <w:szCs w:val="22"/>
        </w:rPr>
        <w:t xml:space="preserve">Commande — date, statut, marché, région, pays, ville, montants, remises, quantité</w:t>
      </w:r>
    </w:p>
    <w:p>
      <w:pPr>
        <w:pStyle w:val="ListParagraph"/>
        <w:numPr>
          <w:ilvl w:val="0"/>
          <w:numId w:val="2"/>
        </w:numPr>
        <w:spacing w:after="80" w:line="276"/>
      </w:pPr>
      <w:r>
        <w:rPr>
          <w:sz w:val="22"/>
          <w:szCs w:val="22"/>
        </w:rPr>
        <w:t xml:space="preserve">Logistique — date d’expédition, mode d’expédition, délai réel, délai planifié, statut de livraison, risque de retard</w:t>
      </w:r>
    </w:p>
    <w:p>
      <w:pPr>
        <w:pStyle w:val="ListParagraph"/>
        <w:numPr>
          <w:ilvl w:val="0"/>
          <w:numId w:val="2"/>
        </w:numPr>
        <w:spacing w:after="80" w:line="276"/>
      </w:pPr>
      <w:r>
        <w:rPr>
          <w:sz w:val="22"/>
          <w:szCs w:val="22"/>
        </w:rPr>
        <w:t xml:space="preserve">Financier — ventes, bénéfice par commande, ratio de marge, total par ligne</w:t>
      </w:r>
    </w:p>
    <w:p>
      <w:pPr>
        <w:pStyle w:val="ListParagraph"/>
        <w:numPr>
          <w:ilvl w:val="0"/>
          <w:numId w:val="2"/>
        </w:numPr>
        <w:spacing w:after="80" w:line="276"/>
      </w:pPr>
      <w:r>
        <w:rPr>
          <w:sz w:val="22"/>
          <w:szCs w:val="22"/>
        </w:rPr>
        <w:t xml:space="preserve">Géographique — latitude, longitude</w:t>
      </w:r>
    </w:p>
    <w:p>
      <w:pPr>
        <w:pStyle w:val="Heading2"/>
        <w:spacing w:after="140" w:before="280"/>
      </w:pPr>
      <w:r>
        <w:rPr>
          <w:b/>
          <w:bCs/>
          <w:color w:val="2E5496"/>
          <w:sz w:val="26"/>
          <w:szCs w:val="26"/>
        </w:rPr>
        <w:t xml:space="preserve">3.2 Colonnes sensibles identifiées</w:t>
      </w:r>
    </w:p>
    <w:p>
      <w:pPr>
        <w:spacing w:after="120" w:line="276"/>
      </w:pPr>
      <w:r>
        <w:rPr>
          <w:sz w:val="22"/>
          <w:szCs w:val="22"/>
        </w:rPr>
        <w:t xml:space="preserve">L’analyse du schéma a mis en évidence deux colonnes relevant de données à caractère personnel : Customer_Email et Customer_Password. La présence d’un champ de mot de passe dans un flux analytique constitue un risque de conformité manifeste, sans aucune justification métier en aval. Le traitement réservé à ces colonnes est détaillé en section 9.2.</w:t>
      </w:r>
    </w:p>
    <w:p>
      <w:pPr>
        <w:pStyle w:val="Heading1"/>
        <w:pageBreakBefore/>
        <w:spacing w:after="200" w:before="0"/>
      </w:pPr>
      <w:r>
        <w:rPr>
          <w:b/>
          <w:bCs/>
          <w:color w:val="1F3864"/>
          <w:sz w:val="32"/>
          <w:szCs w:val="32"/>
        </w:rPr>
        <w:t xml:space="preserve">4. Architecture de la solution</w:t>
      </w:r>
    </w:p>
    <w:p>
      <w:pPr>
        <w:pStyle w:val="Heading2"/>
        <w:spacing w:after="140" w:before="280"/>
      </w:pPr>
      <w:r>
        <w:rPr>
          <w:b/>
          <w:bCs/>
          <w:color w:val="2E5496"/>
          <w:sz w:val="26"/>
          <w:szCs w:val="26"/>
        </w:rPr>
        <w:t xml:space="preserve">4.1 Vue d’ensemble</w:t>
      </w:r>
    </w:p>
    <w:p>
      <w:pPr>
        <w:spacing w:after="120" w:line="276"/>
      </w:pPr>
      <w:r>
        <w:rPr>
          <w:sz w:val="22"/>
          <w:szCs w:val="22"/>
        </w:rPr>
        <w:t xml:space="preserve">L’architecture retenue suit un enchaînement linéaire en huit étapes, chacune assurée par une technologie adaptée à sa fonction. Le schéma ci-dessous présente le flux complet des données, de la base source jusqu’au tableau de bord.</w:t>
      </w:r>
    </w:p>
    <w:p>
      <w:pPr>
        <w:spacing w:after="60" w:before="160"/>
        <w:jc w:val="center"/>
      </w:pPr>
      <w:r>
        <w:drawing>
          <wp:inline distT="0" distB="0" distL="0" distR="0">
            <wp:extent cx="5334000" cy="664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6648450"/>
                    </a:xfrm>
                    <a:prstGeom prst="rect">
                      <a:avLst/>
                    </a:prstGeom>
                  </pic:spPr>
                </pic:pic>
              </a:graphicData>
            </a:graphic>
          </wp:inline>
        </w:drawing>
      </w:r>
    </w:p>
    <w:p>
      <w:pPr>
        <w:spacing w:after="240"/>
        <w:jc w:val="center"/>
      </w:pPr>
      <w:r>
        <w:rPr>
          <w:i/>
          <w:iCs/>
          <w:color w:val="595959"/>
          <w:sz w:val="18"/>
          <w:szCs w:val="18"/>
        </w:rPr>
        <w:t xml:space="preserve">Figure 1 — Flux général du pipeline de données, de la source SQL Server au tableau de bord Power BI</w:t>
      </w:r>
    </w:p>
    <w:p>
      <w:pPr>
        <w:spacing w:after="120" w:line="276"/>
      </w:pPr>
      <w:r>
        <w:rPr>
          <w:sz w:val="22"/>
          <w:szCs w:val="22"/>
        </w:rPr>
        <w:t xml:space="preserve">Trois éléments structurants apparaissent sur ce schéma : la couche bronze demeure physiquement dans Azure Data Lake et n’est jamais modifiée ; les couches silver et gold sont matérialisées dans OneLake, le stockage interne de Fabric ; et le pipeline d’orchestration PL_Orchestrate_Silver_Gold enchaîne automatiquement les deux notebooks de transformation.</w:t>
      </w:r>
    </w:p>
    <w:p>
      <w:pPr>
        <w:pStyle w:val="Heading2"/>
        <w:spacing w:after="140" w:before="280"/>
      </w:pPr>
      <w:r>
        <w:rPr>
          <w:b/>
          <w:bCs/>
          <w:color w:val="2E5496"/>
          <w:sz w:val="26"/>
          <w:szCs w:val="26"/>
        </w:rPr>
        <w:t xml:space="preserve">4.2 L’architecture Medallion</w:t>
      </w:r>
    </w:p>
    <w:p>
      <w:pPr>
        <w:spacing w:after="120" w:line="276"/>
      </w:pPr>
      <w:r>
        <w:rPr>
          <w:sz w:val="22"/>
          <w:szCs w:val="22"/>
        </w:rPr>
        <w:t xml:space="preserve">L’architecture Medallion structure le lac de données en trois couches de raffinage successives. Ce découpage n’est pas une convention esthétique : il répond à un besoin concret de séparation des responsabilités et de reprise sur erreur.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526"/>
      </w:tblGrid>
      <w:tr>
        <w:trPr>
          <w:tblHeader/>
        </w:trPr>
        <w:tc>
          <w:tcPr>
            <w:tcW w:type="dxa" w:w="1300"/>
            <w:shd w:fill="D9E2F3" w:val="clear"/>
            <w:tcMar>
              <w:top w:type="dxa" w:w="80"/>
              <w:left w:type="dxa" w:w="110"/>
              <w:bottom w:type="dxa" w:w="80"/>
              <w:right w:type="dxa" w:w="110"/>
            </w:tcMar>
          </w:tcPr>
          <w:p>
            <w:pPr>
              <w:spacing w:after="0" w:line="240"/>
            </w:pPr>
            <w:r>
              <w:rPr>
                <w:b/>
                <w:bCs/>
                <w:sz w:val="19"/>
                <w:szCs w:val="19"/>
              </w:rPr>
              <w:t xml:space="preserve">Couche</w:t>
            </w:r>
          </w:p>
        </w:tc>
        <w:tc>
          <w:tcPr>
            <w:tcW w:type="dxa" w:w="3200"/>
            <w:shd w:fill="D9E2F3" w:val="clear"/>
            <w:tcMar>
              <w:top w:type="dxa" w:w="80"/>
              <w:left w:type="dxa" w:w="110"/>
              <w:bottom w:type="dxa" w:w="80"/>
              <w:right w:type="dxa" w:w="110"/>
            </w:tcMar>
          </w:tcPr>
          <w:p>
            <w:pPr>
              <w:spacing w:after="0" w:line="240"/>
            </w:pPr>
            <w:r>
              <w:rPr>
                <w:b/>
                <w:bCs/>
                <w:sz w:val="19"/>
                <w:szCs w:val="19"/>
              </w:rPr>
              <w:t xml:space="preserve">Contenu</w:t>
            </w:r>
          </w:p>
        </w:tc>
        <w:tc>
          <w:tcPr>
            <w:tcW w:type="dxa" w:w="4526"/>
            <w:shd w:fill="D9E2F3" w:val="clear"/>
            <w:tcMar>
              <w:top w:type="dxa" w:w="80"/>
              <w:left w:type="dxa" w:w="110"/>
              <w:bottom w:type="dxa" w:w="80"/>
              <w:right w:type="dxa" w:w="110"/>
            </w:tcMar>
          </w:tcPr>
          <w:p>
            <w:pPr>
              <w:spacing w:after="0" w:line="240"/>
            </w:pPr>
            <w:r>
              <w:rPr>
                <w:b/>
                <w:bCs/>
                <w:sz w:val="19"/>
                <w:szCs w:val="19"/>
              </w:rPr>
              <w:t xml:space="preserve">Rôle</w:t>
            </w:r>
          </w:p>
        </w:tc>
      </w:tr>
      <w:tr>
        <w:trPr>
          <w:tblHeader w:val="false"/>
        </w:trPr>
        <w:tc>
          <w:tcPr>
            <w:tcW w:type="dxa" w:w="1300"/>
            <w:tcMar>
              <w:top w:type="dxa" w:w="80"/>
              <w:left w:type="dxa" w:w="110"/>
              <w:bottom w:type="dxa" w:w="80"/>
              <w:right w:type="dxa" w:w="110"/>
            </w:tcMar>
          </w:tcPr>
          <w:p>
            <w:pPr>
              <w:spacing w:after="0" w:line="240"/>
            </w:pPr>
            <w:r>
              <w:rPr>
                <w:b w:val="false"/>
                <w:bCs w:val="false"/>
                <w:sz w:val="19"/>
                <w:szCs w:val="19"/>
              </w:rPr>
              <w:t xml:space="preserve">Bronze</w:t>
            </w:r>
          </w:p>
        </w:tc>
        <w:tc>
          <w:tcPr>
            <w:tcW w:type="dxa" w:w="3200"/>
            <w:tcMar>
              <w:top w:type="dxa" w:w="80"/>
              <w:left w:type="dxa" w:w="110"/>
              <w:bottom w:type="dxa" w:w="80"/>
              <w:right w:type="dxa" w:w="110"/>
            </w:tcMar>
          </w:tcPr>
          <w:p>
            <w:pPr>
              <w:spacing w:after="0" w:line="240"/>
            </w:pPr>
            <w:r>
              <w:rPr>
                <w:b w:val="false"/>
                <w:bCs w:val="false"/>
                <w:sz w:val="19"/>
                <w:szCs w:val="19"/>
              </w:rPr>
              <w:t xml:space="preserve">Données brutes, telles qu’extraites de la source, sans aucune modification</w:t>
            </w:r>
          </w:p>
        </w:tc>
        <w:tc>
          <w:tcPr>
            <w:tcW w:type="dxa" w:w="4526"/>
            <w:tcMar>
              <w:top w:type="dxa" w:w="80"/>
              <w:left w:type="dxa" w:w="110"/>
              <w:bottom w:type="dxa" w:w="80"/>
              <w:right w:type="dxa" w:w="110"/>
            </w:tcMar>
          </w:tcPr>
          <w:p>
            <w:pPr>
              <w:spacing w:after="0" w:line="240"/>
            </w:pPr>
            <w:r>
              <w:rPr>
                <w:b w:val="false"/>
                <w:bCs w:val="false"/>
                <w:sz w:val="19"/>
                <w:szCs w:val="19"/>
              </w:rPr>
              <w:t xml:space="preserve">Conserver une copie fidèle et immuable de la source. En cas d’erreur de transformation, il est toujours possible de rejouer le pipeline depuis cette couche sans solliciter à nouveau le système source.</w:t>
            </w:r>
          </w:p>
        </w:tc>
      </w:tr>
      <w:tr>
        <w:trPr>
          <w:tblHeader w:val="false"/>
        </w:trPr>
        <w:tc>
          <w:tcPr>
            <w:tcW w:type="dxa" w:w="1300"/>
            <w:tcMar>
              <w:top w:type="dxa" w:w="80"/>
              <w:left w:type="dxa" w:w="110"/>
              <w:bottom w:type="dxa" w:w="80"/>
              <w:right w:type="dxa" w:w="110"/>
            </w:tcMar>
          </w:tcPr>
          <w:p>
            <w:pPr>
              <w:spacing w:after="0" w:line="240"/>
            </w:pPr>
            <w:r>
              <w:rPr>
                <w:b w:val="false"/>
                <w:bCs w:val="false"/>
                <w:sz w:val="19"/>
                <w:szCs w:val="19"/>
              </w:rPr>
              <w:t xml:space="preserve">Silver</w:t>
            </w:r>
          </w:p>
        </w:tc>
        <w:tc>
          <w:tcPr>
            <w:tcW w:type="dxa" w:w="3200"/>
            <w:tcMar>
              <w:top w:type="dxa" w:w="80"/>
              <w:left w:type="dxa" w:w="110"/>
              <w:bottom w:type="dxa" w:w="80"/>
              <w:right w:type="dxa" w:w="110"/>
            </w:tcMar>
          </w:tcPr>
          <w:p>
            <w:pPr>
              <w:spacing w:after="0" w:line="240"/>
            </w:pPr>
            <w:r>
              <w:rPr>
                <w:b w:val="false"/>
                <w:bCs w:val="false"/>
                <w:sz w:val="19"/>
                <w:szCs w:val="19"/>
              </w:rPr>
              <w:t xml:space="preserve">Données nettoyées, typées, dédoublonnées, colonnes sensibles supprimées</w:t>
            </w:r>
          </w:p>
        </w:tc>
        <w:tc>
          <w:tcPr>
            <w:tcW w:type="dxa" w:w="4526"/>
            <w:tcMar>
              <w:top w:type="dxa" w:w="80"/>
              <w:left w:type="dxa" w:w="110"/>
              <w:bottom w:type="dxa" w:w="80"/>
              <w:right w:type="dxa" w:w="110"/>
            </w:tcMar>
          </w:tcPr>
          <w:p>
            <w:pPr>
              <w:spacing w:after="0" w:line="240"/>
            </w:pPr>
            <w:r>
              <w:rPr>
                <w:b w:val="false"/>
                <w:bCs w:val="false"/>
                <w:sz w:val="19"/>
                <w:szCs w:val="19"/>
              </w:rPr>
              <w:t xml:space="preserve">Fournir une base de données fiable, exploitable et unique, servant de source de vérité pour tous les usages en aval.</w:t>
            </w:r>
          </w:p>
        </w:tc>
      </w:tr>
      <w:tr>
        <w:trPr>
          <w:tblHeader w:val="false"/>
        </w:trPr>
        <w:tc>
          <w:tcPr>
            <w:tcW w:type="dxa" w:w="1300"/>
            <w:tcMar>
              <w:top w:type="dxa" w:w="80"/>
              <w:left w:type="dxa" w:w="110"/>
              <w:bottom w:type="dxa" w:w="80"/>
              <w:right w:type="dxa" w:w="110"/>
            </w:tcMar>
          </w:tcPr>
          <w:p>
            <w:pPr>
              <w:spacing w:after="0" w:line="240"/>
            </w:pPr>
            <w:r>
              <w:rPr>
                <w:b w:val="false"/>
                <w:bCs w:val="false"/>
                <w:sz w:val="19"/>
                <w:szCs w:val="19"/>
              </w:rPr>
              <w:t xml:space="preserve">Gold</w:t>
            </w:r>
          </w:p>
        </w:tc>
        <w:tc>
          <w:tcPr>
            <w:tcW w:type="dxa" w:w="3200"/>
            <w:tcMar>
              <w:top w:type="dxa" w:w="80"/>
              <w:left w:type="dxa" w:w="110"/>
              <w:bottom w:type="dxa" w:w="80"/>
              <w:right w:type="dxa" w:w="110"/>
            </w:tcMar>
          </w:tcPr>
          <w:p>
            <w:pPr>
              <w:spacing w:after="0" w:line="240"/>
            </w:pPr>
            <w:r>
              <w:rPr>
                <w:b w:val="false"/>
                <w:bCs w:val="false"/>
                <w:sz w:val="19"/>
                <w:szCs w:val="19"/>
              </w:rPr>
              <w:t xml:space="preserve">Modèle dimensionnel en étoile, agrégats métier, indicateurs calculés</w:t>
            </w:r>
          </w:p>
        </w:tc>
        <w:tc>
          <w:tcPr>
            <w:tcW w:type="dxa" w:w="4526"/>
            <w:tcMar>
              <w:top w:type="dxa" w:w="80"/>
              <w:left w:type="dxa" w:w="110"/>
              <w:bottom w:type="dxa" w:w="80"/>
              <w:right w:type="dxa" w:w="110"/>
            </w:tcMar>
          </w:tcPr>
          <w:p>
            <w:pPr>
              <w:spacing w:after="0" w:line="240"/>
            </w:pPr>
            <w:r>
              <w:rPr>
                <w:b w:val="false"/>
                <w:bCs w:val="false"/>
                <w:sz w:val="19"/>
                <w:szCs w:val="19"/>
              </w:rPr>
              <w:t xml:space="preserve">Optimiser la lecture analytique et présenter la donnée sous une forme directement compréhensible par les outils de restitution et les utilisateurs métier.</w:t>
            </w:r>
          </w:p>
        </w:tc>
      </w:tr>
    </w:tbl>
    <w:p>
      <w:pPr>
        <w:spacing w:after="120" w:line="276"/>
      </w:pPr>
      <w:r>
        <w:rPr>
          <w:sz w:val="22"/>
          <w:szCs w:val="22"/>
        </w:rPr>
        <w:t xml:space="preserve"/>
      </w:r>
    </w:p>
    <w:p>
      <w:pPr>
        <w:pStyle w:val="Heading2"/>
        <w:spacing w:after="140" w:before="280"/>
      </w:pPr>
      <w:r>
        <w:rPr>
          <w:b/>
          <w:bCs/>
          <w:color w:val="2E5496"/>
          <w:sz w:val="26"/>
          <w:szCs w:val="26"/>
        </w:rPr>
        <w:t xml:space="preserve">4.3 Pile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shd w:fill="D9E2F3" w:val="clear"/>
            <w:tcMar>
              <w:top w:type="dxa" w:w="80"/>
              <w:left w:type="dxa" w:w="110"/>
              <w:bottom w:type="dxa" w:w="80"/>
              <w:right w:type="dxa" w:w="110"/>
            </w:tcMar>
          </w:tcPr>
          <w:p>
            <w:pPr>
              <w:spacing w:after="0" w:line="240"/>
            </w:pPr>
            <w:r>
              <w:rPr>
                <w:b/>
                <w:bCs/>
                <w:sz w:val="19"/>
                <w:szCs w:val="19"/>
              </w:rPr>
              <w:t xml:space="preserve">Couche fonctionnelle</w:t>
            </w:r>
          </w:p>
        </w:tc>
        <w:tc>
          <w:tcPr>
            <w:tcW w:type="dxa" w:w="2400"/>
            <w:shd w:fill="D9E2F3" w:val="clear"/>
            <w:tcMar>
              <w:top w:type="dxa" w:w="80"/>
              <w:left w:type="dxa" w:w="110"/>
              <w:bottom w:type="dxa" w:w="80"/>
              <w:right w:type="dxa" w:w="110"/>
            </w:tcMar>
          </w:tcPr>
          <w:p>
            <w:pPr>
              <w:spacing w:after="0" w:line="240"/>
            </w:pPr>
            <w:r>
              <w:rPr>
                <w:b/>
                <w:bCs/>
                <w:sz w:val="19"/>
                <w:szCs w:val="19"/>
              </w:rPr>
              <w:t xml:space="preserve">Technologie</w:t>
            </w:r>
          </w:p>
        </w:tc>
        <w:tc>
          <w:tcPr>
            <w:tcW w:type="dxa" w:w="4626"/>
            <w:shd w:fill="D9E2F3" w:val="clear"/>
            <w:tcMar>
              <w:top w:type="dxa" w:w="80"/>
              <w:left w:type="dxa" w:w="110"/>
              <w:bottom w:type="dxa" w:w="80"/>
              <w:right w:type="dxa" w:w="110"/>
            </w:tcMar>
          </w:tcPr>
          <w:p>
            <w:pPr>
              <w:spacing w:after="0" w:line="240"/>
            </w:pPr>
            <w:r>
              <w:rPr>
                <w:b/>
                <w:bCs/>
                <w:sz w:val="19"/>
                <w:szCs w:val="19"/>
              </w:rPr>
              <w:t xml:space="preserve">Justification</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Source</w:t>
            </w:r>
          </w:p>
        </w:tc>
        <w:tc>
          <w:tcPr>
            <w:tcW w:type="dxa" w:w="2400"/>
            <w:tcMar>
              <w:top w:type="dxa" w:w="80"/>
              <w:left w:type="dxa" w:w="110"/>
              <w:bottom w:type="dxa" w:w="80"/>
              <w:right w:type="dxa" w:w="110"/>
            </w:tcMar>
          </w:tcPr>
          <w:p>
            <w:pPr>
              <w:spacing w:after="0" w:line="240"/>
            </w:pPr>
            <w:r>
              <w:rPr>
                <w:b w:val="false"/>
                <w:bCs w:val="false"/>
                <w:sz w:val="19"/>
                <w:szCs w:val="19"/>
              </w:rPr>
              <w:t xml:space="preserve">Microsoft SQL Server</w:t>
            </w:r>
          </w:p>
        </w:tc>
        <w:tc>
          <w:tcPr>
            <w:tcW w:type="dxa" w:w="4626"/>
            <w:tcMar>
              <w:top w:type="dxa" w:w="80"/>
              <w:left w:type="dxa" w:w="110"/>
              <w:bottom w:type="dxa" w:w="80"/>
              <w:right w:type="dxa" w:w="110"/>
            </w:tcMar>
          </w:tcPr>
          <w:p>
            <w:pPr>
              <w:spacing w:after="0" w:line="240"/>
            </w:pPr>
            <w:r>
              <w:rPr>
                <w:b w:val="false"/>
                <w:bCs w:val="false"/>
                <w:sz w:val="19"/>
                <w:szCs w:val="19"/>
              </w:rPr>
              <w:t xml:space="preserve">Base relationnelle standard en entreprise ; permet de simuler un système transactionnel réel.</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Extraction (ETL)</w:t>
            </w:r>
          </w:p>
        </w:tc>
        <w:tc>
          <w:tcPr>
            <w:tcW w:type="dxa" w:w="2400"/>
            <w:tcMar>
              <w:top w:type="dxa" w:w="80"/>
              <w:left w:type="dxa" w:w="110"/>
              <w:bottom w:type="dxa" w:w="80"/>
              <w:right w:type="dxa" w:w="110"/>
            </w:tcMar>
          </w:tcPr>
          <w:p>
            <w:pPr>
              <w:spacing w:after="0" w:line="240"/>
            </w:pPr>
            <w:r>
              <w:rPr>
                <w:b w:val="false"/>
                <w:bCs w:val="false"/>
                <w:sz w:val="19"/>
                <w:szCs w:val="19"/>
              </w:rPr>
              <w:t xml:space="preserve">SSIS (SQL Server Integration Services)</w:t>
            </w:r>
          </w:p>
        </w:tc>
        <w:tc>
          <w:tcPr>
            <w:tcW w:type="dxa" w:w="4626"/>
            <w:tcMar>
              <w:top w:type="dxa" w:w="80"/>
              <w:left w:type="dxa" w:w="110"/>
              <w:bottom w:type="dxa" w:w="80"/>
              <w:right w:type="dxa" w:w="110"/>
            </w:tcMar>
          </w:tcPr>
          <w:p>
            <w:pPr>
              <w:spacing w:after="0" w:line="240"/>
            </w:pPr>
            <w:r>
              <w:rPr>
                <w:b w:val="false"/>
                <w:bCs w:val="false"/>
                <w:sz w:val="19"/>
                <w:szCs w:val="19"/>
              </w:rPr>
              <w:t xml:space="preserve">Outil ETL historique Microsoft, toujours massivement déployé ; gestion native du filigrane et de la journalisation.</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Orchestration cloud</w:t>
            </w:r>
          </w:p>
        </w:tc>
        <w:tc>
          <w:tcPr>
            <w:tcW w:type="dxa" w:w="2400"/>
            <w:tcMar>
              <w:top w:type="dxa" w:w="80"/>
              <w:left w:type="dxa" w:w="110"/>
              <w:bottom w:type="dxa" w:w="80"/>
              <w:right w:type="dxa" w:w="110"/>
            </w:tcMar>
          </w:tcPr>
          <w:p>
            <w:pPr>
              <w:spacing w:after="0" w:line="240"/>
            </w:pPr>
            <w:r>
              <w:rPr>
                <w:b w:val="false"/>
                <w:bCs w:val="false"/>
                <w:sz w:val="19"/>
                <w:szCs w:val="19"/>
              </w:rPr>
              <w:t xml:space="preserve">Azure Data Factory</w:t>
            </w:r>
          </w:p>
        </w:tc>
        <w:tc>
          <w:tcPr>
            <w:tcW w:type="dxa" w:w="4626"/>
            <w:tcMar>
              <w:top w:type="dxa" w:w="80"/>
              <w:left w:type="dxa" w:w="110"/>
              <w:bottom w:type="dxa" w:w="80"/>
              <w:right w:type="dxa" w:w="110"/>
            </w:tcMar>
          </w:tcPr>
          <w:p>
            <w:pPr>
              <w:spacing w:after="0" w:line="240"/>
            </w:pPr>
            <w:r>
              <w:rPr>
                <w:b w:val="false"/>
                <w:bCs w:val="false"/>
                <w:sz w:val="19"/>
                <w:szCs w:val="19"/>
              </w:rPr>
              <w:t xml:space="preserve">Service managé d’intégration ; connecteurs natifs vers le stockage Azure.</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Stockage brut</w:t>
            </w:r>
          </w:p>
        </w:tc>
        <w:tc>
          <w:tcPr>
            <w:tcW w:type="dxa" w:w="2400"/>
            <w:tcMar>
              <w:top w:type="dxa" w:w="80"/>
              <w:left w:type="dxa" w:w="110"/>
              <w:bottom w:type="dxa" w:w="80"/>
              <w:right w:type="dxa" w:w="110"/>
            </w:tcMar>
          </w:tcPr>
          <w:p>
            <w:pPr>
              <w:spacing w:after="0" w:line="240"/>
            </w:pPr>
            <w:r>
              <w:rPr>
                <w:b w:val="false"/>
                <w:bCs w:val="false"/>
                <w:sz w:val="19"/>
                <w:szCs w:val="19"/>
              </w:rPr>
              <w:t xml:space="preserve">Azure Data Lake Storage Gen2</w:t>
            </w:r>
          </w:p>
        </w:tc>
        <w:tc>
          <w:tcPr>
            <w:tcW w:type="dxa" w:w="4626"/>
            <w:tcMar>
              <w:top w:type="dxa" w:w="80"/>
              <w:left w:type="dxa" w:w="110"/>
              <w:bottom w:type="dxa" w:w="80"/>
              <w:right w:type="dxa" w:w="110"/>
            </w:tcMar>
          </w:tcPr>
          <w:p>
            <w:pPr>
              <w:spacing w:after="0" w:line="240"/>
            </w:pPr>
            <w:r>
              <w:rPr>
                <w:b w:val="false"/>
                <w:bCs w:val="false"/>
                <w:sz w:val="19"/>
                <w:szCs w:val="19"/>
              </w:rPr>
              <w:t xml:space="preserve">Stockage objet hiérarchique, économique, adapté aux gros volumes et au format Parquet.</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Plateforme analytique</w:t>
            </w:r>
          </w:p>
        </w:tc>
        <w:tc>
          <w:tcPr>
            <w:tcW w:type="dxa" w:w="2400"/>
            <w:tcMar>
              <w:top w:type="dxa" w:w="80"/>
              <w:left w:type="dxa" w:w="110"/>
              <w:bottom w:type="dxa" w:w="80"/>
              <w:right w:type="dxa" w:w="110"/>
            </w:tcMar>
          </w:tcPr>
          <w:p>
            <w:pPr>
              <w:spacing w:after="0" w:line="240"/>
            </w:pPr>
            <w:r>
              <w:rPr>
                <w:b w:val="false"/>
                <w:bCs w:val="false"/>
                <w:sz w:val="19"/>
                <w:szCs w:val="19"/>
              </w:rPr>
              <w:t xml:space="preserve">Microsoft Fabric (Lakehouse, OneLake)</w:t>
            </w:r>
          </w:p>
        </w:tc>
        <w:tc>
          <w:tcPr>
            <w:tcW w:type="dxa" w:w="4626"/>
            <w:tcMar>
              <w:top w:type="dxa" w:w="80"/>
              <w:left w:type="dxa" w:w="110"/>
              <w:bottom w:type="dxa" w:w="80"/>
              <w:right w:type="dxa" w:w="110"/>
            </w:tcMar>
          </w:tcPr>
          <w:p>
            <w:pPr>
              <w:spacing w:after="0" w:line="240"/>
            </w:pPr>
            <w:r>
              <w:rPr>
                <w:b w:val="false"/>
                <w:bCs w:val="false"/>
                <w:sz w:val="19"/>
                <w:szCs w:val="19"/>
              </w:rPr>
              <w:t xml:space="preserve">Plateforme unifiée regroupant stockage, calcul Spark, entrepôt SQL et Power BI sur un même socle de stockage.</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Transformation</w:t>
            </w:r>
          </w:p>
        </w:tc>
        <w:tc>
          <w:tcPr>
            <w:tcW w:type="dxa" w:w="2400"/>
            <w:tcMar>
              <w:top w:type="dxa" w:w="80"/>
              <w:left w:type="dxa" w:w="110"/>
              <w:bottom w:type="dxa" w:w="80"/>
              <w:right w:type="dxa" w:w="110"/>
            </w:tcMar>
          </w:tcPr>
          <w:p>
            <w:pPr>
              <w:spacing w:after="0" w:line="240"/>
            </w:pPr>
            <w:r>
              <w:rPr>
                <w:b w:val="false"/>
                <w:bCs w:val="false"/>
                <w:sz w:val="19"/>
                <w:szCs w:val="19"/>
              </w:rPr>
              <w:t xml:space="preserve">PySpark / Apache Spark</w:t>
            </w:r>
          </w:p>
        </w:tc>
        <w:tc>
          <w:tcPr>
            <w:tcW w:type="dxa" w:w="4626"/>
            <w:tcMar>
              <w:top w:type="dxa" w:w="80"/>
              <w:left w:type="dxa" w:w="110"/>
              <w:bottom w:type="dxa" w:w="80"/>
              <w:right w:type="dxa" w:w="110"/>
            </w:tcMar>
          </w:tcPr>
          <w:p>
            <w:pPr>
              <w:spacing w:after="0" w:line="240"/>
            </w:pPr>
            <w:r>
              <w:rPr>
                <w:b w:val="false"/>
                <w:bCs w:val="false"/>
                <w:sz w:val="19"/>
                <w:szCs w:val="19"/>
              </w:rPr>
              <w:t xml:space="preserve">Traitement distribué adapté au volume ; API Python expressive.</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Format de table</w:t>
            </w:r>
          </w:p>
        </w:tc>
        <w:tc>
          <w:tcPr>
            <w:tcW w:type="dxa" w:w="2400"/>
            <w:tcMar>
              <w:top w:type="dxa" w:w="80"/>
              <w:left w:type="dxa" w:w="110"/>
              <w:bottom w:type="dxa" w:w="80"/>
              <w:right w:type="dxa" w:w="110"/>
            </w:tcMar>
          </w:tcPr>
          <w:p>
            <w:pPr>
              <w:spacing w:after="0" w:line="240"/>
            </w:pPr>
            <w:r>
              <w:rPr>
                <w:b w:val="false"/>
                <w:bCs w:val="false"/>
                <w:sz w:val="19"/>
                <w:szCs w:val="19"/>
              </w:rPr>
              <w:t xml:space="preserve">Delta Lake</w:t>
            </w:r>
          </w:p>
        </w:tc>
        <w:tc>
          <w:tcPr>
            <w:tcW w:type="dxa" w:w="4626"/>
            <w:tcMar>
              <w:top w:type="dxa" w:w="80"/>
              <w:left w:type="dxa" w:w="110"/>
              <w:bottom w:type="dxa" w:w="80"/>
              <w:right w:type="dxa" w:w="110"/>
            </w:tcMar>
          </w:tcPr>
          <w:p>
            <w:pPr>
              <w:spacing w:after="0" w:line="240"/>
            </w:pPr>
            <w:r>
              <w:rPr>
                <w:b w:val="false"/>
                <w:bCs w:val="false"/>
                <w:sz w:val="19"/>
                <w:szCs w:val="19"/>
              </w:rPr>
              <w:t xml:space="preserve">Transactions ACID, versionnement (time travel), compatibilité SQL et Spark.</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Entrepôt</w:t>
            </w:r>
          </w:p>
        </w:tc>
        <w:tc>
          <w:tcPr>
            <w:tcW w:type="dxa" w:w="2400"/>
            <w:tcMar>
              <w:top w:type="dxa" w:w="80"/>
              <w:left w:type="dxa" w:w="110"/>
              <w:bottom w:type="dxa" w:w="80"/>
              <w:right w:type="dxa" w:w="110"/>
            </w:tcMar>
          </w:tcPr>
          <w:p>
            <w:pPr>
              <w:spacing w:after="0" w:line="240"/>
            </w:pPr>
            <w:r>
              <w:rPr>
                <w:b w:val="false"/>
                <w:bCs w:val="false"/>
                <w:sz w:val="19"/>
                <w:szCs w:val="19"/>
              </w:rPr>
              <w:t xml:space="preserve">Fabric Warehouse (T-SQL)</w:t>
            </w:r>
          </w:p>
        </w:tc>
        <w:tc>
          <w:tcPr>
            <w:tcW w:type="dxa" w:w="4626"/>
            <w:tcMar>
              <w:top w:type="dxa" w:w="80"/>
              <w:left w:type="dxa" w:w="110"/>
              <w:bottom w:type="dxa" w:w="80"/>
              <w:right w:type="dxa" w:w="110"/>
            </w:tcMar>
          </w:tcPr>
          <w:p>
            <w:pPr>
              <w:spacing w:after="0" w:line="240"/>
            </w:pPr>
            <w:r>
              <w:rPr>
                <w:b w:val="false"/>
                <w:bCs w:val="false"/>
                <w:sz w:val="19"/>
                <w:szCs w:val="19"/>
              </w:rPr>
              <w:t xml:space="preserve">Moteur SQL permettant les requêtes inter-bases et l’exposition de vues métier.</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Orchestration Fabric</w:t>
            </w:r>
          </w:p>
        </w:tc>
        <w:tc>
          <w:tcPr>
            <w:tcW w:type="dxa" w:w="2400"/>
            <w:tcMar>
              <w:top w:type="dxa" w:w="80"/>
              <w:left w:type="dxa" w:w="110"/>
              <w:bottom w:type="dxa" w:w="80"/>
              <w:right w:type="dxa" w:w="110"/>
            </w:tcMar>
          </w:tcPr>
          <w:p>
            <w:pPr>
              <w:spacing w:after="0" w:line="240"/>
            </w:pPr>
            <w:r>
              <w:rPr>
                <w:b w:val="false"/>
                <w:bCs w:val="false"/>
                <w:sz w:val="19"/>
                <w:szCs w:val="19"/>
              </w:rPr>
              <w:t xml:space="preserve">Fabric Data Pipeline</w:t>
            </w:r>
          </w:p>
        </w:tc>
        <w:tc>
          <w:tcPr>
            <w:tcW w:type="dxa" w:w="4626"/>
            <w:tcMar>
              <w:top w:type="dxa" w:w="80"/>
              <w:left w:type="dxa" w:w="110"/>
              <w:bottom w:type="dxa" w:w="80"/>
              <w:right w:type="dxa" w:w="110"/>
            </w:tcMar>
          </w:tcPr>
          <w:p>
            <w:pPr>
              <w:spacing w:after="0" w:line="240"/>
            </w:pPr>
            <w:r>
              <w:rPr>
                <w:b w:val="false"/>
                <w:bCs w:val="false"/>
                <w:sz w:val="19"/>
                <w:szCs w:val="19"/>
              </w:rPr>
              <w:t xml:space="preserve">Enchaînement natif des notebooks sans authentification externe.</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Restitution</w:t>
            </w:r>
          </w:p>
        </w:tc>
        <w:tc>
          <w:tcPr>
            <w:tcW w:type="dxa" w:w="2400"/>
            <w:tcMar>
              <w:top w:type="dxa" w:w="80"/>
              <w:left w:type="dxa" w:w="110"/>
              <w:bottom w:type="dxa" w:w="80"/>
              <w:right w:type="dxa" w:w="110"/>
            </w:tcMar>
          </w:tcPr>
          <w:p>
            <w:pPr>
              <w:spacing w:after="0" w:line="240"/>
            </w:pPr>
            <w:r>
              <w:rPr>
                <w:b w:val="false"/>
                <w:bCs w:val="false"/>
                <w:sz w:val="19"/>
                <w:szCs w:val="19"/>
              </w:rPr>
              <w:t xml:space="preserve">Power BI Desktop / Service</w:t>
            </w:r>
          </w:p>
        </w:tc>
        <w:tc>
          <w:tcPr>
            <w:tcW w:type="dxa" w:w="4626"/>
            <w:tcMar>
              <w:top w:type="dxa" w:w="80"/>
              <w:left w:type="dxa" w:w="110"/>
              <w:bottom w:type="dxa" w:w="80"/>
              <w:right w:type="dxa" w:w="110"/>
            </w:tcMar>
          </w:tcPr>
          <w:p>
            <w:pPr>
              <w:spacing w:after="0" w:line="240"/>
            </w:pPr>
            <w:r>
              <w:rPr>
                <w:b w:val="false"/>
                <w:bCs w:val="false"/>
                <w:sz w:val="19"/>
                <w:szCs w:val="19"/>
              </w:rPr>
              <w:t xml:space="preserve">Standard du marché ; connexion DirectQuery native à Fabric.</w:t>
            </w:r>
          </w:p>
        </w:tc>
      </w:tr>
    </w:tbl>
    <w:p>
      <w:pPr>
        <w:spacing w:after="120" w:line="276"/>
      </w:pPr>
      <w:r>
        <w:rPr>
          <w:sz w:val="22"/>
          <w:szCs w:val="22"/>
        </w:rPr>
        <w:t xml:space="preserve"/>
      </w:r>
    </w:p>
    <w:p>
      <w:pPr>
        <w:pStyle w:val="Heading2"/>
        <w:spacing w:after="140" w:before="280"/>
      </w:pPr>
      <w:r>
        <w:rPr>
          <w:b/>
          <w:bCs/>
          <w:color w:val="2E5496"/>
          <w:sz w:val="26"/>
          <w:szCs w:val="26"/>
        </w:rPr>
        <w:t xml:space="preserve">4.4 Langages et frameworks utilisés</w:t>
      </w:r>
    </w:p>
    <w:p>
      <w:pPr>
        <w:spacing w:after="120" w:line="276"/>
      </w:pPr>
      <w:r>
        <w:rPr>
          <w:sz w:val="22"/>
          <w:szCs w:val="22"/>
        </w:rPr>
        <w:t xml:space="preserve">Cinq langages et deux frameworks sont mobilisés dans le projet, chacun sur le segment où il est le plus pertinent. Cette diversité n’est pas gratuite : elle reflète le fait qu’une chaîne de données moderne combine nécessairement plusieurs paradigmes — impératif pour les transformations, déclaratif pour l’interrogation, fonctionnel pour le calcul analytique.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tblHeader/>
        </w:trPr>
        <w:tc>
          <w:tcPr>
            <w:tcW w:type="dxa" w:w="1900"/>
            <w:shd w:fill="D9E2F3" w:val="clear"/>
            <w:tcMar>
              <w:top w:type="dxa" w:w="80"/>
              <w:left w:type="dxa" w:w="110"/>
              <w:bottom w:type="dxa" w:w="80"/>
              <w:right w:type="dxa" w:w="110"/>
            </w:tcMar>
          </w:tcPr>
          <w:p>
            <w:pPr>
              <w:spacing w:after="0" w:line="240"/>
            </w:pPr>
            <w:r>
              <w:rPr>
                <w:b/>
                <w:bCs/>
                <w:sz w:val="19"/>
                <w:szCs w:val="19"/>
              </w:rPr>
              <w:t xml:space="preserve">Langage / Framework</w:t>
            </w:r>
          </w:p>
        </w:tc>
        <w:tc>
          <w:tcPr>
            <w:tcW w:type="dxa" w:w="2600"/>
            <w:shd w:fill="D9E2F3" w:val="clear"/>
            <w:tcMar>
              <w:top w:type="dxa" w:w="80"/>
              <w:left w:type="dxa" w:w="110"/>
              <w:bottom w:type="dxa" w:w="80"/>
              <w:right w:type="dxa" w:w="110"/>
            </w:tcMar>
          </w:tcPr>
          <w:p>
            <w:pPr>
              <w:spacing w:after="0" w:line="240"/>
            </w:pPr>
            <w:r>
              <w:rPr>
                <w:b/>
                <w:bCs/>
                <w:sz w:val="19"/>
                <w:szCs w:val="19"/>
              </w:rPr>
              <w:t xml:space="preserve">Où il est utilisé</w:t>
            </w:r>
          </w:p>
        </w:tc>
        <w:tc>
          <w:tcPr>
            <w:tcW w:type="dxa" w:w="4526"/>
            <w:shd w:fill="D9E2F3" w:val="clear"/>
            <w:tcMar>
              <w:top w:type="dxa" w:w="80"/>
              <w:left w:type="dxa" w:w="110"/>
              <w:bottom w:type="dxa" w:w="80"/>
              <w:right w:type="dxa" w:w="110"/>
            </w:tcMar>
          </w:tcPr>
          <w:p>
            <w:pPr>
              <w:spacing w:after="0" w:line="240"/>
            </w:pPr>
            <w:r>
              <w:rPr>
                <w:b/>
                <w:bCs/>
                <w:sz w:val="19"/>
                <w:szCs w:val="19"/>
              </w:rPr>
              <w:t xml:space="preserve">Exemples concrets dans le projet</w:t>
            </w:r>
          </w:p>
        </w:tc>
      </w:tr>
      <w:tr>
        <w:trPr>
          <w:tblHeader w:val="false"/>
        </w:trPr>
        <w:tc>
          <w:tcPr>
            <w:tcW w:type="dxa" w:w="1900"/>
            <w:tcMar>
              <w:top w:type="dxa" w:w="80"/>
              <w:left w:type="dxa" w:w="110"/>
              <w:bottom w:type="dxa" w:w="80"/>
              <w:right w:type="dxa" w:w="110"/>
            </w:tcMar>
          </w:tcPr>
          <w:p>
            <w:pPr>
              <w:spacing w:after="0" w:line="240"/>
            </w:pPr>
            <w:r>
              <w:rPr>
                <w:b w:val="false"/>
                <w:bCs w:val="false"/>
                <w:sz w:val="19"/>
                <w:szCs w:val="19"/>
              </w:rPr>
              <w:t xml:space="preserve">Python (PySpark)</w:t>
            </w:r>
          </w:p>
        </w:tc>
        <w:tc>
          <w:tcPr>
            <w:tcW w:type="dxa" w:w="2600"/>
            <w:tcMar>
              <w:top w:type="dxa" w:w="80"/>
              <w:left w:type="dxa" w:w="110"/>
              <w:bottom w:type="dxa" w:w="80"/>
              <w:right w:type="dxa" w:w="110"/>
            </w:tcMar>
          </w:tcPr>
          <w:p>
            <w:pPr>
              <w:spacing w:after="0" w:line="240"/>
            </w:pPr>
            <w:r>
              <w:rPr>
                <w:b w:val="false"/>
                <w:bCs w:val="false"/>
                <w:sz w:val="19"/>
                <w:szCs w:val="19"/>
              </w:rPr>
              <w:t xml:space="preserve">Notebooks Fabric 01_bronze_to_silver et 02_silver_to_gold</w:t>
            </w:r>
          </w:p>
        </w:tc>
        <w:tc>
          <w:tcPr>
            <w:tcW w:type="dxa" w:w="4526"/>
            <w:tcMar>
              <w:top w:type="dxa" w:w="80"/>
              <w:left w:type="dxa" w:w="110"/>
              <w:bottom w:type="dxa" w:w="80"/>
              <w:right w:type="dxa" w:w="110"/>
            </w:tcMar>
          </w:tcPr>
          <w:p>
            <w:pPr>
              <w:spacing w:after="0" w:line="240"/>
            </w:pPr>
            <w:r>
              <w:rPr>
                <w:b w:val="false"/>
                <w:bCs w:val="false"/>
                <w:sz w:val="19"/>
                <w:szCs w:val="19"/>
              </w:rPr>
              <w:t xml:space="preserve">Lecture Parquet, profilage de schéma, transtypage (cast), dropDuplicates, withColumn, jointures, écriture de tables Delta</w:t>
            </w:r>
          </w:p>
        </w:tc>
      </w:tr>
      <w:tr>
        <w:trPr>
          <w:tblHeader w:val="false"/>
        </w:trPr>
        <w:tc>
          <w:tcPr>
            <w:tcW w:type="dxa" w:w="1900"/>
            <w:tcMar>
              <w:top w:type="dxa" w:w="80"/>
              <w:left w:type="dxa" w:w="110"/>
              <w:bottom w:type="dxa" w:w="80"/>
              <w:right w:type="dxa" w:w="110"/>
            </w:tcMar>
          </w:tcPr>
          <w:p>
            <w:pPr>
              <w:spacing w:after="0" w:line="240"/>
            </w:pPr>
            <w:r>
              <w:rPr>
                <w:b w:val="false"/>
                <w:bCs w:val="false"/>
                <w:sz w:val="19"/>
                <w:szCs w:val="19"/>
              </w:rPr>
              <w:t xml:space="preserve">Spark SQL</w:t>
            </w:r>
          </w:p>
        </w:tc>
        <w:tc>
          <w:tcPr>
            <w:tcW w:type="dxa" w:w="2600"/>
            <w:tcMar>
              <w:top w:type="dxa" w:w="80"/>
              <w:left w:type="dxa" w:w="110"/>
              <w:bottom w:type="dxa" w:w="80"/>
              <w:right w:type="dxa" w:w="110"/>
            </w:tcMar>
          </w:tcPr>
          <w:p>
            <w:pPr>
              <w:spacing w:after="0" w:line="240"/>
            </w:pPr>
            <w:r>
              <w:rPr>
                <w:b w:val="false"/>
                <w:bCs w:val="false"/>
                <w:sz w:val="19"/>
                <w:szCs w:val="19"/>
              </w:rPr>
              <w:t xml:space="preserve">Notebook 02_silver_to_gold</w:t>
            </w:r>
          </w:p>
        </w:tc>
        <w:tc>
          <w:tcPr>
            <w:tcW w:type="dxa" w:w="4526"/>
            <w:tcMar>
              <w:top w:type="dxa" w:w="80"/>
              <w:left w:type="dxa" w:w="110"/>
              <w:bottom w:type="dxa" w:w="80"/>
              <w:right w:type="dxa" w:w="110"/>
            </w:tcMar>
          </w:tcPr>
          <w:p>
            <w:pPr>
              <w:spacing w:after="0" w:line="240"/>
            </w:pPr>
            <w:r>
              <w:rPr>
                <w:b w:val="false"/>
                <w:bCs w:val="false"/>
                <w:sz w:val="19"/>
                <w:szCs w:val="19"/>
              </w:rPr>
              <w:t xml:space="preserve">Génération de la dimension calendaire par sequence() et explode() sur un intervalle de dates</w:t>
            </w:r>
          </w:p>
        </w:tc>
      </w:tr>
      <w:tr>
        <w:trPr>
          <w:tblHeader w:val="false"/>
        </w:trPr>
        <w:tc>
          <w:tcPr>
            <w:tcW w:type="dxa" w:w="1900"/>
            <w:tcMar>
              <w:top w:type="dxa" w:w="80"/>
              <w:left w:type="dxa" w:w="110"/>
              <w:bottom w:type="dxa" w:w="80"/>
              <w:right w:type="dxa" w:w="110"/>
            </w:tcMar>
          </w:tcPr>
          <w:p>
            <w:pPr>
              <w:spacing w:after="0" w:line="240"/>
            </w:pPr>
            <w:r>
              <w:rPr>
                <w:b w:val="false"/>
                <w:bCs w:val="false"/>
                <w:sz w:val="19"/>
                <w:szCs w:val="19"/>
              </w:rPr>
              <w:t xml:space="preserve">T-SQL</w:t>
            </w:r>
          </w:p>
        </w:tc>
        <w:tc>
          <w:tcPr>
            <w:tcW w:type="dxa" w:w="2600"/>
            <w:tcMar>
              <w:top w:type="dxa" w:w="80"/>
              <w:left w:type="dxa" w:w="110"/>
              <w:bottom w:type="dxa" w:w="80"/>
              <w:right w:type="dxa" w:w="110"/>
            </w:tcMar>
          </w:tcPr>
          <w:p>
            <w:pPr>
              <w:spacing w:after="0" w:line="240"/>
            </w:pPr>
            <w:r>
              <w:rPr>
                <w:b w:val="false"/>
                <w:bCs w:val="false"/>
                <w:sz w:val="19"/>
                <w:szCs w:val="19"/>
              </w:rPr>
              <w:t xml:space="preserve">Entrepôt SupplyChain_Warehouse</w:t>
            </w:r>
          </w:p>
        </w:tc>
        <w:tc>
          <w:tcPr>
            <w:tcW w:type="dxa" w:w="4526"/>
            <w:tcMar>
              <w:top w:type="dxa" w:w="80"/>
              <w:left w:type="dxa" w:w="110"/>
              <w:bottom w:type="dxa" w:w="80"/>
              <w:right w:type="dxa" w:w="110"/>
            </w:tcMar>
          </w:tcPr>
          <w:p>
            <w:pPr>
              <w:spacing w:after="0" w:line="240"/>
            </w:pPr>
            <w:r>
              <w:rPr>
                <w:b w:val="false"/>
                <w:bCs w:val="false"/>
                <w:sz w:val="19"/>
                <w:szCs w:val="19"/>
              </w:rPr>
              <w:t xml:space="preserve">CREATE VIEW vw_shipment_kpis, jointures inter-bases à trois parties, agrégations GROUP BY, requêtes de validation UNION ALL</w:t>
            </w:r>
          </w:p>
        </w:tc>
      </w:tr>
      <w:tr>
        <w:trPr>
          <w:tblHeader w:val="false"/>
        </w:trPr>
        <w:tc>
          <w:tcPr>
            <w:tcW w:type="dxa" w:w="1900"/>
            <w:tcMar>
              <w:top w:type="dxa" w:w="80"/>
              <w:left w:type="dxa" w:w="110"/>
              <w:bottom w:type="dxa" w:w="80"/>
              <w:right w:type="dxa" w:w="110"/>
            </w:tcMar>
          </w:tcPr>
          <w:p>
            <w:pPr>
              <w:spacing w:after="0" w:line="240"/>
            </w:pPr>
            <w:r>
              <w:rPr>
                <w:b w:val="false"/>
                <w:bCs w:val="false"/>
                <w:sz w:val="19"/>
                <w:szCs w:val="19"/>
              </w:rPr>
              <w:t xml:space="preserve">SQL (SQL Server)</w:t>
            </w:r>
          </w:p>
        </w:tc>
        <w:tc>
          <w:tcPr>
            <w:tcW w:type="dxa" w:w="2600"/>
            <w:tcMar>
              <w:top w:type="dxa" w:w="80"/>
              <w:left w:type="dxa" w:w="110"/>
              <w:bottom w:type="dxa" w:w="80"/>
              <w:right w:type="dxa" w:w="110"/>
            </w:tcMar>
          </w:tcPr>
          <w:p>
            <w:pPr>
              <w:spacing w:after="0" w:line="240"/>
            </w:pPr>
            <w:r>
              <w:rPr>
                <w:b w:val="false"/>
                <w:bCs w:val="false"/>
                <w:sz w:val="19"/>
                <w:szCs w:val="19"/>
              </w:rPr>
              <w:t xml:space="preserve">Base de staging et package SSIS</w:t>
            </w:r>
          </w:p>
        </w:tc>
        <w:tc>
          <w:tcPr>
            <w:tcW w:type="dxa" w:w="4526"/>
            <w:tcMar>
              <w:top w:type="dxa" w:w="80"/>
              <w:left w:type="dxa" w:w="110"/>
              <w:bottom w:type="dxa" w:w="80"/>
              <w:right w:type="dxa" w:w="110"/>
            </w:tcMar>
          </w:tcPr>
          <w:p>
            <w:pPr>
              <w:spacing w:after="0" w:line="240"/>
            </w:pPr>
            <w:r>
              <w:rPr>
                <w:b w:val="false"/>
                <w:bCs w:val="false"/>
                <w:sz w:val="19"/>
                <w:szCs w:val="19"/>
              </w:rPr>
              <w:t xml:space="preserve">Création des tables stg.orders, stg.watermark, stg.audit_log, stg.error_log ; tâches d’exécution SQL du package ; SELECT COUNT(*) de contrôle</w:t>
            </w:r>
          </w:p>
        </w:tc>
      </w:tr>
      <w:tr>
        <w:trPr>
          <w:tblHeader w:val="false"/>
        </w:trPr>
        <w:tc>
          <w:tcPr>
            <w:tcW w:type="dxa" w:w="1900"/>
            <w:tcMar>
              <w:top w:type="dxa" w:w="80"/>
              <w:left w:type="dxa" w:w="110"/>
              <w:bottom w:type="dxa" w:w="80"/>
              <w:right w:type="dxa" w:w="110"/>
            </w:tcMar>
          </w:tcPr>
          <w:p>
            <w:pPr>
              <w:spacing w:after="0" w:line="240"/>
            </w:pPr>
            <w:r>
              <w:rPr>
                <w:b w:val="false"/>
                <w:bCs w:val="false"/>
                <w:sz w:val="19"/>
                <w:szCs w:val="19"/>
              </w:rPr>
              <w:t xml:space="preserve">DAX</w:t>
            </w:r>
          </w:p>
        </w:tc>
        <w:tc>
          <w:tcPr>
            <w:tcW w:type="dxa" w:w="2600"/>
            <w:tcMar>
              <w:top w:type="dxa" w:w="80"/>
              <w:left w:type="dxa" w:w="110"/>
              <w:bottom w:type="dxa" w:w="80"/>
              <w:right w:type="dxa" w:w="110"/>
            </w:tcMar>
          </w:tcPr>
          <w:p>
            <w:pPr>
              <w:spacing w:after="0" w:line="240"/>
            </w:pPr>
            <w:r>
              <w:rPr>
                <w:b w:val="false"/>
                <w:bCs w:val="false"/>
                <w:sz w:val="19"/>
                <w:szCs w:val="19"/>
              </w:rPr>
              <w:t xml:space="preserve">Modèle sémantique Power BI</w:t>
            </w:r>
          </w:p>
        </w:tc>
        <w:tc>
          <w:tcPr>
            <w:tcW w:type="dxa" w:w="4526"/>
            <w:tcMar>
              <w:top w:type="dxa" w:w="80"/>
              <w:left w:type="dxa" w:w="110"/>
              <w:bottom w:type="dxa" w:w="80"/>
              <w:right w:type="dxa" w:w="110"/>
            </w:tcMar>
          </w:tcPr>
          <w:p>
            <w:pPr>
              <w:spacing w:after="0" w:line="240"/>
            </w:pPr>
            <w:r>
              <w:rPr>
                <w:b w:val="false"/>
                <w:bCs w:val="false"/>
                <w:sz w:val="19"/>
                <w:szCs w:val="19"/>
              </w:rPr>
              <w:t xml:space="preserve">SUM, AVERAGE, COUNTROWS, DIVIDE, FILTER — six mesures dont le taux de livraison à temps</w:t>
            </w:r>
          </w:p>
        </w:tc>
      </w:tr>
      <w:tr>
        <w:trPr>
          <w:tblHeader w:val="false"/>
        </w:trPr>
        <w:tc>
          <w:tcPr>
            <w:tcW w:type="dxa" w:w="1900"/>
            <w:tcMar>
              <w:top w:type="dxa" w:w="80"/>
              <w:left w:type="dxa" w:w="110"/>
              <w:bottom w:type="dxa" w:w="80"/>
              <w:right w:type="dxa" w:w="110"/>
            </w:tcMar>
          </w:tcPr>
          <w:p>
            <w:pPr>
              <w:spacing w:after="0" w:line="240"/>
            </w:pPr>
            <w:r>
              <w:rPr>
                <w:b w:val="false"/>
                <w:bCs w:val="false"/>
                <w:sz w:val="19"/>
                <w:szCs w:val="19"/>
              </w:rPr>
              <w:t xml:space="preserve">Apache Spark</w:t>
            </w:r>
          </w:p>
        </w:tc>
        <w:tc>
          <w:tcPr>
            <w:tcW w:type="dxa" w:w="2600"/>
            <w:tcMar>
              <w:top w:type="dxa" w:w="80"/>
              <w:left w:type="dxa" w:w="110"/>
              <w:bottom w:type="dxa" w:w="80"/>
              <w:right w:type="dxa" w:w="110"/>
            </w:tcMar>
          </w:tcPr>
          <w:p>
            <w:pPr>
              <w:spacing w:after="0" w:line="240"/>
            </w:pPr>
            <w:r>
              <w:rPr>
                <w:b w:val="false"/>
                <w:bCs w:val="false"/>
                <w:sz w:val="19"/>
                <w:szCs w:val="19"/>
              </w:rPr>
              <w:t xml:space="preserve">Moteur d’exécution distribué sous-jacent</w:t>
            </w:r>
          </w:p>
        </w:tc>
        <w:tc>
          <w:tcPr>
            <w:tcW w:type="dxa" w:w="4526"/>
            <w:tcMar>
              <w:top w:type="dxa" w:w="80"/>
              <w:left w:type="dxa" w:w="110"/>
              <w:bottom w:type="dxa" w:w="80"/>
              <w:right w:type="dxa" w:w="110"/>
            </w:tcMar>
          </w:tcPr>
          <w:p>
            <w:pPr>
              <w:spacing w:after="0" w:line="240"/>
            </w:pPr>
            <w:r>
              <w:rPr>
                <w:b w:val="false"/>
                <w:bCs w:val="false"/>
                <w:sz w:val="19"/>
                <w:szCs w:val="19"/>
              </w:rPr>
              <w:t xml:space="preserve">Parallélisation du traitement des 180 519 lignes ; écriture Delta partitionnée en huit fichiers</w:t>
            </w:r>
          </w:p>
        </w:tc>
      </w:tr>
      <w:tr>
        <w:trPr>
          <w:tblHeader w:val="false"/>
        </w:trPr>
        <w:tc>
          <w:tcPr>
            <w:tcW w:type="dxa" w:w="1900"/>
            <w:tcMar>
              <w:top w:type="dxa" w:w="80"/>
              <w:left w:type="dxa" w:w="110"/>
              <w:bottom w:type="dxa" w:w="80"/>
              <w:right w:type="dxa" w:w="110"/>
            </w:tcMar>
          </w:tcPr>
          <w:p>
            <w:pPr>
              <w:spacing w:after="0" w:line="240"/>
            </w:pPr>
            <w:r>
              <w:rPr>
                <w:b w:val="false"/>
                <w:bCs w:val="false"/>
                <w:sz w:val="19"/>
                <w:szCs w:val="19"/>
              </w:rPr>
              <w:t xml:space="preserve">Delta Lake</w:t>
            </w:r>
          </w:p>
        </w:tc>
        <w:tc>
          <w:tcPr>
            <w:tcW w:type="dxa" w:w="2600"/>
            <w:tcMar>
              <w:top w:type="dxa" w:w="80"/>
              <w:left w:type="dxa" w:w="110"/>
              <w:bottom w:type="dxa" w:w="80"/>
              <w:right w:type="dxa" w:w="110"/>
            </w:tcMar>
          </w:tcPr>
          <w:p>
            <w:pPr>
              <w:spacing w:after="0" w:line="240"/>
            </w:pPr>
            <w:r>
              <w:rPr>
                <w:b w:val="false"/>
                <w:bCs w:val="false"/>
                <w:sz w:val="19"/>
                <w:szCs w:val="19"/>
              </w:rPr>
              <w:t xml:space="preserve">Format de stockage des couches silver et gold</w:t>
            </w:r>
          </w:p>
        </w:tc>
        <w:tc>
          <w:tcPr>
            <w:tcW w:type="dxa" w:w="4526"/>
            <w:tcMar>
              <w:top w:type="dxa" w:w="80"/>
              <w:left w:type="dxa" w:w="110"/>
              <w:bottom w:type="dxa" w:w="80"/>
              <w:right w:type="dxa" w:w="110"/>
            </w:tcMar>
          </w:tcPr>
          <w:p>
            <w:pPr>
              <w:spacing w:after="0" w:line="240"/>
            </w:pPr>
            <w:r>
              <w:rPr>
                <w:b w:val="false"/>
                <w:bCs w:val="false"/>
                <w:sz w:val="19"/>
                <w:szCs w:val="19"/>
              </w:rPr>
              <w:t xml:space="preserve">Tables transactionnelles ACID interrogeables simultanément en Spark et en SQL</w:t>
            </w:r>
          </w:p>
        </w:tc>
      </w:tr>
    </w:tbl>
    <w:p>
      <w:pPr>
        <w:pStyle w:val="Heading1"/>
        <w:pageBreakBefore/>
        <w:spacing w:after="200" w:before="0"/>
      </w:pPr>
      <w:r>
        <w:rPr>
          <w:b/>
          <w:bCs/>
          <w:color w:val="1F3864"/>
          <w:sz w:val="32"/>
          <w:szCs w:val="32"/>
        </w:rPr>
        <w:t xml:space="preserve">5. Phase 1 — Mise en place de l’environnement</w:t>
      </w:r>
    </w:p>
    <w:p>
      <w:pPr>
        <w:spacing w:after="120" w:line="276"/>
      </w:pPr>
      <w:r>
        <w:rPr>
          <w:sz w:val="22"/>
          <w:szCs w:val="22"/>
        </w:rPr>
        <w:t xml:space="preserve">La première phase a consisté à préparer l’ensemble des environnements de travail nécessaires au projet, à savoir :</w:t>
      </w:r>
    </w:p>
    <w:p>
      <w:pPr>
        <w:pStyle w:val="ListParagraph"/>
        <w:numPr>
          <w:ilvl w:val="0"/>
          <w:numId w:val="2"/>
        </w:numPr>
        <w:spacing w:after="80" w:line="276"/>
      </w:pPr>
      <w:r>
        <w:rPr>
          <w:sz w:val="22"/>
          <w:szCs w:val="22"/>
        </w:rPr>
        <w:t xml:space="preserve">Installation et configuration d’une instance SQL Server locale ainsi que de SQL Server Management Studio (SSMS).</w:t>
      </w:r>
    </w:p>
    <w:p>
      <w:pPr>
        <w:pStyle w:val="ListParagraph"/>
        <w:numPr>
          <w:ilvl w:val="0"/>
          <w:numId w:val="2"/>
        </w:numPr>
        <w:spacing w:after="80" w:line="276"/>
      </w:pPr>
      <w:r>
        <w:rPr>
          <w:sz w:val="22"/>
          <w:szCs w:val="22"/>
        </w:rPr>
        <w:t xml:space="preserve">Installation de Visual Studio avec l’extension SQL Server Integration Services Projects, indispensable au développement des packages SSIS.</w:t>
      </w:r>
    </w:p>
    <w:p>
      <w:pPr>
        <w:pStyle w:val="ListParagraph"/>
        <w:numPr>
          <w:ilvl w:val="0"/>
          <w:numId w:val="2"/>
        </w:numPr>
        <w:spacing w:after="80" w:line="276"/>
      </w:pPr>
      <w:r>
        <w:rPr>
          <w:sz w:val="22"/>
          <w:szCs w:val="22"/>
        </w:rPr>
        <w:t xml:space="preserve">Création d’un abonnement Azure et provisionnement d’un groupe de ressources dédié au projet.</w:t>
      </w:r>
    </w:p>
    <w:p>
      <w:pPr>
        <w:pStyle w:val="ListParagraph"/>
        <w:numPr>
          <w:ilvl w:val="0"/>
          <w:numId w:val="2"/>
        </w:numPr>
        <w:spacing w:after="80" w:line="276"/>
      </w:pPr>
      <w:r>
        <w:rPr>
          <w:sz w:val="22"/>
          <w:szCs w:val="22"/>
        </w:rPr>
        <w:t xml:space="preserve">Création d’un compte de stockage Azure Data Lake Storage Gen2 avec activation de l’espace de noms hiérarchique, prérequis technique pour l’usage en lac de données.</w:t>
      </w:r>
    </w:p>
    <w:p>
      <w:pPr>
        <w:pStyle w:val="ListParagraph"/>
        <w:numPr>
          <w:ilvl w:val="0"/>
          <w:numId w:val="2"/>
        </w:numPr>
        <w:spacing w:after="80" w:line="276"/>
      </w:pPr>
      <w:r>
        <w:rPr>
          <w:sz w:val="22"/>
          <w:szCs w:val="22"/>
        </w:rPr>
        <w:t xml:space="preserve">Activation d’une capacité Microsoft Fabric (essai Power BI) et création de l’espace de travail SupplyChain_DE.</w:t>
      </w:r>
    </w:p>
    <w:p>
      <w:pPr>
        <w:pStyle w:val="ListParagraph"/>
        <w:numPr>
          <w:ilvl w:val="0"/>
          <w:numId w:val="2"/>
        </w:numPr>
        <w:spacing w:after="80" w:line="276"/>
      </w:pPr>
      <w:r>
        <w:rPr>
          <w:sz w:val="22"/>
          <w:szCs w:val="22"/>
        </w:rPr>
        <w:t xml:space="preserve">Installation de Power BI Desktop pour la phase de restitution.</w:t>
      </w:r>
    </w:p>
    <w:p>
      <w:pPr>
        <w:spacing w:after="120" w:line="276"/>
      </w:pPr>
      <w:r>
        <w:rPr>
          <w:sz w:val="22"/>
          <w:szCs w:val="22"/>
        </w:rPr>
        <w:t xml:space="preserve">Cette phase, bien que peu visible dans le résultat final, conditionne l’ensemble du projet : une erreur de configuration à ce stade (par exemple l’oubli de l’espace de noms hiérarchique sur le compte de stockage) se traduit par des blocages difficiles à diagnostiquer plusieurs phases plus tard.</w:t>
      </w:r>
    </w:p>
    <w:p>
      <w:pPr>
        <w:pStyle w:val="Heading1"/>
        <w:pageBreakBefore/>
        <w:spacing w:after="200" w:before="0"/>
      </w:pPr>
      <w:r>
        <w:rPr>
          <w:b/>
          <w:bCs/>
          <w:color w:val="1F3864"/>
          <w:sz w:val="32"/>
          <w:szCs w:val="32"/>
        </w:rPr>
        <w:t xml:space="preserve">6. Phase 2 — Base de données de staging SQL Server</w:t>
      </w:r>
    </w:p>
    <w:p>
      <w:pPr>
        <w:spacing w:after="120" w:line="276"/>
      </w:pPr>
      <w:r>
        <w:rPr>
          <w:sz w:val="22"/>
          <w:szCs w:val="22"/>
        </w:rPr>
        <w:t xml:space="preserve">Une base de données dédiée, nommée SupplyChain_Staging, a été créée pour accueillir les données sources. Elle joue le rôle de zone tampon entre le fichier source et la chaîne d’ingestion cloud.</w:t>
      </w:r>
    </w:p>
    <w:p>
      <w:pPr>
        <w:pStyle w:val="Heading2"/>
        <w:spacing w:after="140" w:before="280"/>
      </w:pPr>
      <w:r>
        <w:rPr>
          <w:b/>
          <w:bCs/>
          <w:color w:val="2E5496"/>
          <w:sz w:val="26"/>
          <w:szCs w:val="26"/>
        </w:rPr>
        <w:t xml:space="preserve">6.1 Table principale</w:t>
      </w:r>
    </w:p>
    <w:p>
      <w:pPr>
        <w:spacing w:after="120" w:line="276"/>
      </w:pPr>
      <w:r>
        <w:rPr>
          <w:sz w:val="22"/>
          <w:szCs w:val="22"/>
        </w:rPr>
        <w:t xml:space="preserve">La table stg.orders constitue la table de staging principale. Elle reprend l’intégralité des 53 colonnes du jeu de données source, avec un typage adapté à SQL Server. À l’issue du chargement initial, elle contient 180 519 lignes — volume qui servira de référence pour toutes les vérifications d’intégrité ultérieures.</w:t>
      </w:r>
    </w:p>
    <w:p>
      <w:pPr>
        <w:spacing w:after="60" w:before="160"/>
        <w:jc w:val="center"/>
      </w:pPr>
      <w:r>
        <w:drawing>
          <wp:inline distT="0" distB="0" distL="0" distR="0">
            <wp:extent cx="314325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4067175"/>
                    </a:xfrm>
                    <a:prstGeom prst="rect">
                      <a:avLst/>
                    </a:prstGeom>
                  </pic:spPr>
                </pic:pic>
              </a:graphicData>
            </a:graphic>
          </wp:inline>
        </w:drawing>
      </w:r>
    </w:p>
    <w:p>
      <w:pPr>
        <w:spacing w:after="240"/>
        <w:jc w:val="center"/>
      </w:pPr>
      <w:r>
        <w:rPr>
          <w:i/>
          <w:iCs/>
          <w:color w:val="595959"/>
          <w:sz w:val="18"/>
          <w:szCs w:val="18"/>
        </w:rPr>
        <w:t xml:space="preserve">Figure 2 — Base SupplyChain_Staging et ses quatre tables dans l’explorateur d’objets SSMS</w:t>
      </w:r>
    </w:p>
    <w:p>
      <w:pPr>
        <w:spacing w:after="60" w:before="160"/>
        <w:jc w:val="center"/>
      </w:pPr>
      <w:r>
        <w:drawing>
          <wp:inline distT="0" distB="0" distL="0" distR="0">
            <wp:extent cx="3810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581275"/>
                    </a:xfrm>
                    <a:prstGeom prst="rect">
                      <a:avLst/>
                    </a:prstGeom>
                  </pic:spPr>
                </pic:pic>
              </a:graphicData>
            </a:graphic>
          </wp:inline>
        </w:drawing>
      </w:r>
    </w:p>
    <w:p>
      <w:pPr>
        <w:spacing w:after="240"/>
        <w:jc w:val="center"/>
      </w:pPr>
      <w:r>
        <w:rPr>
          <w:i/>
          <w:iCs/>
          <w:color w:val="595959"/>
          <w:sz w:val="18"/>
          <w:szCs w:val="18"/>
        </w:rPr>
        <w:t xml:space="preserve">Figure 3 — Contrôle de volumétrie : SELECT COUNT(*) FROM stg.orders renvoie 180 519</w:t>
      </w:r>
    </w:p>
    <w:p>
      <w:pPr>
        <w:pStyle w:val="Heading2"/>
        <w:spacing w:after="140" w:before="280"/>
      </w:pPr>
      <w:r>
        <w:rPr>
          <w:b/>
          <w:bCs/>
          <w:color w:val="2E5496"/>
          <w:sz w:val="26"/>
          <w:szCs w:val="26"/>
        </w:rPr>
        <w:t xml:space="preserve">6.2 Tables techniques</w:t>
      </w:r>
    </w:p>
    <w:p>
      <w:pPr>
        <w:spacing w:after="120" w:line="276"/>
      </w:pPr>
      <w:r>
        <w:rPr>
          <w:sz w:val="22"/>
          <w:szCs w:val="22"/>
        </w:rPr>
        <w:t xml:space="preserve">Trois tables techniques complètent le dispositif :</w:t>
      </w:r>
    </w:p>
    <w:p>
      <w:pPr>
        <w:pStyle w:val="ListParagraph"/>
        <w:numPr>
          <w:ilvl w:val="0"/>
          <w:numId w:val="2"/>
        </w:numPr>
        <w:spacing w:after="80" w:line="276"/>
      </w:pPr>
      <w:r>
        <w:rPr>
          <w:sz w:val="22"/>
          <w:szCs w:val="22"/>
        </w:rPr>
        <w:t xml:space="preserve">stg.watermark — table de filigrane conservant la valeur de la dernière clé ou date traitée lors de la précédente exécution. Elle permet à SSIS de ne sélectionner que les lignes nouvelles ou modifiées, plutôt que de recharger l’intégralité de la table à chaque exécution.</w:t>
      </w:r>
    </w:p>
    <w:p>
      <w:pPr>
        <w:pStyle w:val="ListParagraph"/>
        <w:numPr>
          <w:ilvl w:val="0"/>
          <w:numId w:val="2"/>
        </w:numPr>
        <w:spacing w:after="80" w:line="276"/>
      </w:pPr>
      <w:r>
        <w:rPr>
          <w:sz w:val="22"/>
          <w:szCs w:val="22"/>
        </w:rPr>
        <w:t xml:space="preserve">stg.audit_log — journal d’audit enregistrant, pour chaque exécution, l’horodatage de début et de fin, le nombre de lignes traitées et le statut d’exécution. Ce journal constitue la trace d’exploitation du pipeline, indispensable pour diagnostiquer un incident a posteriori.</w:t>
      </w:r>
    </w:p>
    <w:p>
      <w:pPr>
        <w:pStyle w:val="ListParagraph"/>
        <w:numPr>
          <w:ilvl w:val="0"/>
          <w:numId w:val="2"/>
        </w:numPr>
        <w:spacing w:after="80" w:line="276"/>
      </w:pPr>
      <w:r>
        <w:rPr>
          <w:sz w:val="22"/>
          <w:szCs w:val="22"/>
        </w:rPr>
        <w:t xml:space="preserve">stg.error_log — journal d’erreurs destiné à recueillir les enregistrements rejetés ou les exceptions rencontrées durant le traitement, afin qu’un incident sur quelques lignes n’interrompe pas l’ensemble du flux tout en restant tracé.</w:t>
      </w:r>
    </w:p>
    <w:p>
      <w:pPr>
        <w:spacing w:after="120" w:line="276"/>
      </w:pPr>
      <w:r>
        <w:rPr>
          <w:sz w:val="22"/>
          <w:szCs w:val="22"/>
        </w:rPr>
        <w:t xml:space="preserve">Ces trois mécanismes — filigrane, journal d’exécution et journal d’erreurs — sont ce qui distingue un flux d’ingestion industrialisable d’un simple import ponctuel.</w:t>
      </w:r>
    </w:p>
    <w:p>
      <w:pPr>
        <w:pStyle w:val="Heading1"/>
        <w:pageBreakBefore/>
        <w:spacing w:after="200" w:before="0"/>
      </w:pPr>
      <w:r>
        <w:rPr>
          <w:b/>
          <w:bCs/>
          <w:color w:val="1F3864"/>
          <w:sz w:val="32"/>
          <w:szCs w:val="32"/>
        </w:rPr>
        <w:t xml:space="preserve">7. Phase 3 — Extraction incrémentale avec SSIS</w:t>
      </w:r>
    </w:p>
    <w:p>
      <w:pPr>
        <w:spacing w:after="120" w:line="276"/>
      </w:pPr>
      <w:r>
        <w:rPr>
          <w:sz w:val="22"/>
          <w:szCs w:val="22"/>
        </w:rPr>
        <w:t xml:space="preserve">Le package SSIS PKG_Extract_Orders.dtsx assure l’extraction des données vers la table de staging selon une logique incrémentale.</w:t>
      </w:r>
    </w:p>
    <w:p>
      <w:pPr>
        <w:pStyle w:val="Heading2"/>
        <w:spacing w:after="140" w:before="280"/>
      </w:pPr>
      <w:r>
        <w:rPr>
          <w:b/>
          <w:bCs/>
          <w:color w:val="2E5496"/>
          <w:sz w:val="26"/>
          <w:szCs w:val="26"/>
        </w:rPr>
        <w:t xml:space="preserve">7.1 Flux de contrôle</w:t>
      </w:r>
    </w:p>
    <w:p>
      <w:pPr>
        <w:spacing w:after="120" w:line="276"/>
      </w:pPr>
      <w:r>
        <w:rPr>
          <w:sz w:val="22"/>
          <w:szCs w:val="22"/>
        </w:rPr>
        <w:t xml:space="preserve">Le flux de contrôle du package s’articule autour de trois tâches d’exécution SQL enchaînées par des contraintes de précédence sur succès :</w:t>
      </w:r>
    </w:p>
    <w:p>
      <w:pPr>
        <w:pStyle w:val="ListParagraph"/>
        <w:numPr>
          <w:ilvl w:val="0"/>
          <w:numId w:val="4"/>
        </w:numPr>
        <w:spacing w:after="80" w:line="276"/>
      </w:pPr>
      <w:r>
        <w:rPr>
          <w:sz w:val="22"/>
          <w:szCs w:val="22"/>
        </w:rPr>
        <w:t xml:space="preserve">Read Watermark — récupération de la dernière valeur traitée dans stg.watermark et affectation à une variable du package.</w:t>
      </w:r>
    </w:p>
    <w:p>
      <w:pPr>
        <w:pStyle w:val="ListParagraph"/>
        <w:numPr>
          <w:ilvl w:val="0"/>
          <w:numId w:val="4"/>
        </w:numPr>
        <w:spacing w:after="80" w:line="276"/>
      </w:pPr>
      <w:r>
        <w:rPr>
          <w:sz w:val="22"/>
          <w:szCs w:val="22"/>
        </w:rPr>
        <w:t xml:space="preserve">Audit Log — extraction et chargement des enregistrements postérieurs au filigrane dans stg.orders, avec inscription simultanée de l’exécution dans stg.audit_log.</w:t>
      </w:r>
    </w:p>
    <w:p>
      <w:pPr>
        <w:pStyle w:val="ListParagraph"/>
        <w:numPr>
          <w:ilvl w:val="0"/>
          <w:numId w:val="4"/>
        </w:numPr>
        <w:spacing w:after="80" w:line="276"/>
      </w:pPr>
      <w:r>
        <w:rPr>
          <w:sz w:val="22"/>
          <w:szCs w:val="22"/>
        </w:rPr>
        <w:t xml:space="preserve">Update Watermark — mise à jour de stg.watermark avec la nouvelle valeur maximale, de sorte que la prochaine exécution reprenne exactement où celle-ci s’est arrêtée.</w:t>
      </w:r>
    </w:p>
    <w:p>
      <w:pPr>
        <w:spacing w:after="60" w:before="16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28925"/>
                    </a:xfrm>
                    <a:prstGeom prst="rect">
                      <a:avLst/>
                    </a:prstGeom>
                  </pic:spPr>
                </pic:pic>
              </a:graphicData>
            </a:graphic>
          </wp:inline>
        </w:drawing>
      </w:r>
    </w:p>
    <w:p>
      <w:pPr>
        <w:spacing w:after="240"/>
        <w:jc w:val="center"/>
      </w:pPr>
      <w:r>
        <w:rPr>
          <w:i/>
          <w:iCs/>
          <w:color w:val="595959"/>
          <w:sz w:val="18"/>
          <w:szCs w:val="18"/>
        </w:rPr>
        <w:t xml:space="preserve">Figure 4 — Flux de contrôle du package PKG_Extract_Orders.dtsx après exécution : les trois tâches sont validées</w:t>
      </w:r>
    </w:p>
    <w:p>
      <w:pPr>
        <w:spacing w:after="120" w:line="276"/>
      </w:pPr>
      <w:r>
        <w:rPr>
          <w:sz w:val="22"/>
          <w:szCs w:val="22"/>
        </w:rPr>
        <w:t xml:space="preserve">La fenêtre de sortie de Visual Studio confirme la bonne fin de traitement : le package se termine avec le statut « Success », et les trois indicateurs verts attestent qu’aucune tâche n’a échoué. Les 180 519 lignes attendues ont été insérées et les tables de filigrane et d’audit correctement alimentées.</w:t>
      </w:r>
    </w:p>
    <w:p>
      <w:pPr>
        <w:pStyle w:val="Heading2"/>
        <w:spacing w:after="140" w:before="280"/>
      </w:pPr>
      <w:r>
        <w:rPr>
          <w:b/>
          <w:bCs/>
          <w:color w:val="2E5496"/>
          <w:sz w:val="26"/>
          <w:szCs w:val="26"/>
        </w:rPr>
        <w:t xml:space="preserve">7.2 Intérêt de l’approche incrémentale</w:t>
      </w:r>
    </w:p>
    <w:p>
      <w:pPr>
        <w:spacing w:after="120" w:line="276"/>
      </w:pPr>
      <w:r>
        <w:rPr>
          <w:sz w:val="22"/>
          <w:szCs w:val="22"/>
        </w:rPr>
        <w:t xml:space="preserve">Le rechargement complet d’une table à chaque exécution devient rapidement inacceptable en production : il consomme inutilement des ressources sur le système source, allonge la fenêtre de traitement et augmente le risque de conflit avec l’activité transactionnelle. L’approche par filigrane résout ce problème en limitant le volume transféré au strict nécessaire.</w:t>
      </w:r>
    </w:p>
    <w:p>
      <w:pPr>
        <w:spacing w:after="120" w:line="276"/>
      </w:pPr>
      <w:r>
        <w:rPr>
          <w:sz w:val="22"/>
          <w:szCs w:val="22"/>
        </w:rPr>
        <w:t xml:space="preserve">L’ordre des tâches n’est pas anodin : le filigrane n’est mis à jour qu’en dernier, une fois le chargement effectivement terminé. Si le traitement échoue en cours de route, le filigrane conserve son ancienne valeur et l’exécution suivante reprend le même périmètre — plutôt que de sauter définitivement les lignes non traitées. Cette précaution rend le package rejouable sans perte de données.</w:t>
      </w:r>
    </w:p>
    <w:p>
      <w:pPr>
        <w:pStyle w:val="Heading1"/>
        <w:pageBreakBefore/>
        <w:spacing w:after="200" w:before="0"/>
      </w:pPr>
      <w:r>
        <w:rPr>
          <w:b/>
          <w:bCs/>
          <w:color w:val="1F3864"/>
          <w:sz w:val="32"/>
          <w:szCs w:val="32"/>
        </w:rPr>
        <w:t xml:space="preserve">8. Phase 4 — Ingestion vers Azure Data Lake avec ADF</w:t>
      </w:r>
    </w:p>
    <w:p>
      <w:pPr>
        <w:spacing w:after="120" w:line="276"/>
      </w:pPr>
      <w:r>
        <w:rPr>
          <w:sz w:val="22"/>
          <w:szCs w:val="22"/>
        </w:rPr>
        <w:t xml:space="preserve">Le pipeline Azure Data Factory PL_02_Stage_To_Lake assure le transfert des données depuis la table de staging SQL Server vers la couche bronze du lac de données.</w:t>
      </w:r>
    </w:p>
    <w:p>
      <w:pPr>
        <w:pStyle w:val="Heading2"/>
        <w:spacing w:after="140" w:before="280"/>
      </w:pPr>
      <w:r>
        <w:rPr>
          <w:b/>
          <w:bCs/>
          <w:color w:val="2E5496"/>
          <w:sz w:val="26"/>
          <w:szCs w:val="26"/>
        </w:rPr>
        <w:t xml:space="preserve">8.1 Composition du pipeline</w:t>
      </w:r>
    </w:p>
    <w:p>
      <w:pPr>
        <w:spacing w:after="120" w:line="276"/>
      </w:pPr>
      <w:r>
        <w:rPr>
          <w:sz w:val="22"/>
          <w:szCs w:val="22"/>
        </w:rPr>
        <w:t xml:space="preserve">Le pipeline, hébergé dans la fabrique de données my-data-factory-adf11, repose sur une activité unique nommée Copy_SQLServer_To_Bronze. Celle-ci est paramétrée avec un délai d’expiration de douze heures, trois tentatives de reprise et un intervalle de 120 secondes entre deux tentatives — réglages qui permettent au pipeline d’absorber une indisponibilité passagère du réseau ou de la source sans échouer définitivement.</w:t>
      </w:r>
    </w:p>
    <w:p>
      <w:pPr>
        <w:spacing w:after="60" w:before="160"/>
        <w:jc w:val="center"/>
      </w:pPr>
      <w:r>
        <w:drawing>
          <wp:inline distT="0" distB="0" distL="0" distR="0">
            <wp:extent cx="5334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43275"/>
                    </a:xfrm>
                    <a:prstGeom prst="rect">
                      <a:avLst/>
                    </a:prstGeom>
                  </pic:spPr>
                </pic:pic>
              </a:graphicData>
            </a:graphic>
          </wp:inline>
        </w:drawing>
      </w:r>
    </w:p>
    <w:p>
      <w:pPr>
        <w:spacing w:after="240"/>
        <w:jc w:val="center"/>
      </w:pPr>
      <w:r>
        <w:rPr>
          <w:i/>
          <w:iCs/>
          <w:color w:val="595959"/>
          <w:sz w:val="18"/>
          <w:szCs w:val="18"/>
        </w:rPr>
        <w:t xml:space="preserve">Figure 5 — Pipeline PL_02_Stage_To_Lake et paramétrage de l’activité Copy_SQLServer_To_Bronze</w:t>
      </w:r>
    </w:p>
    <w:p>
      <w:pPr>
        <w:spacing w:after="120" w:line="276"/>
      </w:pPr>
      <w:r>
        <w:rPr>
          <w:sz w:val="22"/>
          <w:szCs w:val="22"/>
        </w:rPr>
        <w:t xml:space="preserve">Deux services liés assurent les connexions aux extrémités du transfert :</w:t>
      </w:r>
    </w:p>
    <w:p>
      <w:pPr>
        <w:pStyle w:val="ListParagraph"/>
        <w:numPr>
          <w:ilvl w:val="0"/>
          <w:numId w:val="2"/>
        </w:numPr>
        <w:spacing w:after="80" w:line="276"/>
      </w:pPr>
      <w:r>
        <w:rPr>
          <w:sz w:val="22"/>
          <w:szCs w:val="22"/>
        </w:rPr>
        <w:t xml:space="preserve">LS_SQLServer_Staging — connexion de type SQL Server vers l’instance hébergeant SupplyChain_Staging, établie au moyen d’un runtime d’intégration auto-hébergé (self-hosted integration runtime) qui permet à un service cloud d’atteindre une source on-premise.</w:t>
      </w:r>
    </w:p>
    <w:p>
      <w:pPr>
        <w:pStyle w:val="ListParagraph"/>
        <w:numPr>
          <w:ilvl w:val="0"/>
          <w:numId w:val="2"/>
        </w:numPr>
        <w:spacing w:after="80" w:line="276"/>
      </w:pPr>
      <w:r>
        <w:rPr>
          <w:sz w:val="22"/>
          <w:szCs w:val="22"/>
        </w:rPr>
        <w:t xml:space="preserve">LS_ADLS_Bronze — connexion de type Azure Data Lake Storage Gen2 vers le compte de stockage du projet.</w:t>
      </w:r>
    </w:p>
    <w:p>
      <w:pPr>
        <w:spacing w:after="60" w:before="16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i/>
          <w:iCs/>
          <w:color w:val="595959"/>
          <w:sz w:val="18"/>
          <w:szCs w:val="18"/>
        </w:rPr>
        <w:t xml:space="preserve">Figure 6 — Services liés définis dans Azure Data Factory : source SQL Server et destination ADLS Gen2</w:t>
      </w:r>
    </w:p>
    <w:p>
      <w:pPr>
        <w:spacing w:after="120" w:line="276"/>
      </w:pPr>
      <w:r>
        <w:rPr>
          <w:sz w:val="22"/>
          <w:szCs w:val="22"/>
        </w:rPr>
        <w:t xml:space="preserve">Deux jeux de données leur correspondent : DS_SQLServer_Orders pour la table stg.orders en entrée, et DS_ADLS_Bronze pour le fichier Parquet en sortie.</w:t>
      </w:r>
    </w:p>
    <w:p>
      <w:pPr>
        <w:pStyle w:val="Heading2"/>
        <w:spacing w:after="140" w:before="280"/>
      </w:pPr>
      <w:r>
        <w:rPr>
          <w:b/>
          <w:bCs/>
          <w:color w:val="2E5496"/>
          <w:sz w:val="26"/>
          <w:szCs w:val="26"/>
        </w:rPr>
        <w:t xml:space="preserve">8.2 Organisation du compte de stockage</w:t>
      </w:r>
    </w:p>
    <w:p>
      <w:pPr>
        <w:spacing w:after="120" w:line="276"/>
      </w:pPr>
      <w:r>
        <w:rPr>
          <w:sz w:val="22"/>
          <w:szCs w:val="22"/>
        </w:rPr>
        <w:t xml:space="preserve">Le compte de stockage etlprojectstorage11 a été organisé en trois conteneurs correspondant aux trois couches de l’architecture Medallion, auxquels s’ajoute le conteneur système $logs.</w:t>
      </w:r>
    </w:p>
    <w:p>
      <w:pPr>
        <w:spacing w:after="60" w:before="16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28925"/>
                    </a:xfrm>
                    <a:prstGeom prst="rect">
                      <a:avLst/>
                    </a:prstGeom>
                  </pic:spPr>
                </pic:pic>
              </a:graphicData>
            </a:graphic>
          </wp:inline>
        </w:drawing>
      </w:r>
    </w:p>
    <w:p>
      <w:pPr>
        <w:spacing w:after="240"/>
        <w:jc w:val="center"/>
      </w:pPr>
      <w:r>
        <w:rPr>
          <w:i/>
          <w:iCs/>
          <w:color w:val="595959"/>
          <w:sz w:val="18"/>
          <w:szCs w:val="18"/>
        </w:rPr>
        <w:t xml:space="preserve">Figure 7 — Conteneurs du compte de stockage : bronze, silver et gold</w:t>
      </w:r>
    </w:p>
    <w:p>
      <w:pPr>
        <w:spacing w:after="120" w:line="276"/>
      </w:pPr>
      <w:r>
        <w:rPr>
          <w:sz w:val="22"/>
          <w:szCs w:val="22"/>
        </w:rPr>
        <w:t xml:space="preserve">Il convient de noter que seul le conteneur bronze est effectivement alimenté par le pipeline. Les conteneurs silver et gold ont été provisionnés par anticipation, mais le choix architectural retenu en phase 5 — matérialiser les couches transformées dans OneLake plutôt que dans Azure Data Lake — les laisse volontairement inutilisés. Cette décision est détaillée en section 9.1.</w:t>
      </w:r>
    </w:p>
    <w:p>
      <w:pPr>
        <w:spacing w:after="120" w:line="276"/>
      </w:pPr>
      <w:r>
        <w:rPr>
          <w:sz w:val="22"/>
          <w:szCs w:val="22"/>
        </w:rPr>
        <w:t xml:space="preserve">Le fichier déposé par le pipeline est accessible au chemin bronze/orders/orders.parquet.</w:t>
      </w:r>
    </w:p>
    <w:p>
      <w:pPr>
        <w:spacing w:after="60" w:before="16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676400"/>
                    </a:xfrm>
                    <a:prstGeom prst="rect">
                      <a:avLst/>
                    </a:prstGeom>
                  </pic:spPr>
                </pic:pic>
              </a:graphicData>
            </a:graphic>
          </wp:inline>
        </w:drawing>
      </w:r>
    </w:p>
    <w:p>
      <w:pPr>
        <w:spacing w:after="240"/>
        <w:jc w:val="center"/>
      </w:pPr>
      <w:r>
        <w:rPr>
          <w:i/>
          <w:iCs/>
          <w:color w:val="595959"/>
          <w:sz w:val="18"/>
          <w:szCs w:val="18"/>
        </w:rPr>
        <w:t xml:space="preserve">Figure 8 — Fichier orders.parquet déposé dans le conteneur bronze — 23,55 Mo</w:t>
      </w:r>
    </w:p>
    <w:p>
      <w:pPr>
        <w:pStyle w:val="Heading2"/>
        <w:spacing w:after="140" w:before="280"/>
      </w:pPr>
      <w:r>
        <w:rPr>
          <w:b/>
          <w:bCs/>
          <w:color w:val="2E5496"/>
          <w:sz w:val="26"/>
          <w:szCs w:val="26"/>
        </w:rPr>
        <w:t xml:space="preserve">8.3 Choix du format Parquet</w:t>
      </w:r>
    </w:p>
    <w:p>
      <w:pPr>
        <w:spacing w:after="120" w:line="276"/>
      </w:pPr>
      <w:r>
        <w:rPr>
          <w:sz w:val="22"/>
          <w:szCs w:val="22"/>
        </w:rPr>
        <w:t xml:space="preserve">Le format Parquet a été retenu plutôt que CSV pour plusieurs raisons déterminantes dans un contexte analytique :</w:t>
      </w:r>
    </w:p>
    <w:p>
      <w:pPr>
        <w:pStyle w:val="ListParagraph"/>
        <w:numPr>
          <w:ilvl w:val="0"/>
          <w:numId w:val="2"/>
        </w:numPr>
        <w:spacing w:after="80" w:line="276"/>
      </w:pPr>
      <w:r>
        <w:rPr>
          <w:sz w:val="22"/>
          <w:szCs w:val="22"/>
        </w:rPr>
        <w:t xml:space="preserve">Stockage en colonnes — les moteurs analytiques ne lisent que les colonnes utiles à la requête, ce qui réduit considérablement les volumes lus.</w:t>
      </w:r>
    </w:p>
    <w:p>
      <w:pPr>
        <w:pStyle w:val="ListParagraph"/>
        <w:numPr>
          <w:ilvl w:val="0"/>
          <w:numId w:val="2"/>
        </w:numPr>
        <w:spacing w:after="80" w:line="276"/>
      </w:pPr>
      <w:r>
        <w:rPr>
          <w:sz w:val="22"/>
          <w:szCs w:val="22"/>
        </w:rPr>
        <w:t xml:space="preserve">Compression efficace — les 180 519 lignes occupent 23,55 Mo, soit une fraction de la taille d’un équivalent CSV.</w:t>
      </w:r>
    </w:p>
    <w:p>
      <w:pPr>
        <w:pStyle w:val="ListParagraph"/>
        <w:numPr>
          <w:ilvl w:val="0"/>
          <w:numId w:val="2"/>
        </w:numPr>
        <w:spacing w:after="80" w:line="276"/>
      </w:pPr>
      <w:r>
        <w:rPr>
          <w:sz w:val="22"/>
          <w:szCs w:val="22"/>
        </w:rPr>
        <w:t xml:space="preserve">Schéma embarqué — les noms et types de colonnes sont stockés dans le fichier, évitant toute ambiguïté d’interprétation à la lecture.</w:t>
      </w:r>
    </w:p>
    <w:p>
      <w:pPr>
        <w:pStyle w:val="ListParagraph"/>
        <w:numPr>
          <w:ilvl w:val="0"/>
          <w:numId w:val="2"/>
        </w:numPr>
        <w:spacing w:after="80" w:line="276"/>
      </w:pPr>
      <w:r>
        <w:rPr>
          <w:sz w:val="22"/>
          <w:szCs w:val="22"/>
        </w:rPr>
        <w:t xml:space="preserve">Compatibilité native avec Spark, Delta Lake et Microsoft Fabric.</w:t>
      </w:r>
    </w:p>
    <w:p>
      <w:pPr>
        <w:spacing w:after="120" w:line="276"/>
      </w:pPr>
      <w:r>
        <w:rPr>
          <w:sz w:val="22"/>
          <w:szCs w:val="22"/>
        </w:rPr>
        <w:t xml:space="preserve">L’exécution du pipeline a été vérifiée dans l’onglet de supervision d’ADF, avec un statut « Succeeded » et un volume écrit conforme aux attentes.</w:t>
      </w:r>
    </w:p>
    <w:p>
      <w:pPr>
        <w:pStyle w:val="Heading1"/>
        <w:pageBreakBefore/>
        <w:spacing w:after="200" w:before="0"/>
      </w:pPr>
      <w:r>
        <w:rPr>
          <w:b/>
          <w:bCs/>
          <w:color w:val="1F3864"/>
          <w:sz w:val="32"/>
          <w:szCs w:val="32"/>
        </w:rPr>
        <w:t xml:space="preserve">9. Phase 5 — Transformation dans Microsoft Fabric</w:t>
      </w:r>
    </w:p>
    <w:p>
      <w:pPr>
        <w:spacing w:after="120" w:line="276"/>
      </w:pPr>
      <w:r>
        <w:rPr>
          <w:sz w:val="22"/>
          <w:szCs w:val="22"/>
        </w:rPr>
        <w:t xml:space="preserve">Cette phase constitue le cœur technique du projet. Elle met en œuvre l’architecture Medallion à l’intérieur de Microsoft Fabric, depuis la connexion au lac jusqu’à la constitution du modèle dimensionnel.</w:t>
      </w:r>
    </w:p>
    <w:p>
      <w:pPr>
        <w:pStyle w:val="Heading2"/>
        <w:spacing w:after="140" w:before="280"/>
      </w:pPr>
      <w:r>
        <w:rPr>
          <w:b/>
          <w:bCs/>
          <w:color w:val="2E5496"/>
          <w:sz w:val="26"/>
          <w:szCs w:val="26"/>
        </w:rPr>
        <w:t xml:space="preserve">9.1 Lakehouse et raccourci OneLake</w:t>
      </w:r>
    </w:p>
    <w:p>
      <w:pPr>
        <w:spacing w:after="120" w:line="276"/>
      </w:pPr>
      <w:r>
        <w:rPr>
          <w:sz w:val="22"/>
          <w:szCs w:val="22"/>
        </w:rPr>
        <w:t xml:space="preserve">Un Lakehouse nommé SupplyChain_Lakehouse a été créé dans l’espace de travail SupplyChain_DE. Plutôt que de copier le fichier Parquet depuis Azure Data Lake vers Fabric, un raccourci (shortcut) a été mis en place vers le conteneur bronze.</w:t>
      </w:r>
    </w:p>
    <w:p>
      <w:pPr>
        <w:spacing w:after="60" w:before="16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05175"/>
                    </a:xfrm>
                    <a:prstGeom prst="rect">
                      <a:avLst/>
                    </a:prstGeom>
                  </pic:spPr>
                </pic:pic>
              </a:graphicData>
            </a:graphic>
          </wp:inline>
        </w:drawing>
      </w:r>
    </w:p>
    <w:p>
      <w:pPr>
        <w:spacing w:after="240"/>
        <w:jc w:val="center"/>
      </w:pPr>
      <w:r>
        <w:rPr>
          <w:i/>
          <w:iCs/>
          <w:color w:val="595959"/>
          <w:sz w:val="18"/>
          <w:szCs w:val="18"/>
        </w:rPr>
        <w:t xml:space="preserve">Figure 9 — Écran de confirmation de création du raccourci vers le conteneur bronze (ADLS Gen2)</w:t>
      </w:r>
    </w:p>
    <w:p>
      <w:pPr>
        <w:spacing w:after="120" w:line="276"/>
      </w:pPr>
      <w:r>
        <w:rPr>
          <w:sz w:val="22"/>
          <w:szCs w:val="22"/>
        </w:rPr>
        <w:t xml:space="preserve">Le raccourci est un mécanisme de virtualisation : il crée un pointeur vers les données, sans duplication physique. Cette approche présente trois avantages :</w:t>
      </w:r>
    </w:p>
    <w:p>
      <w:pPr>
        <w:pStyle w:val="ListParagraph"/>
        <w:numPr>
          <w:ilvl w:val="0"/>
          <w:numId w:val="2"/>
        </w:numPr>
        <w:spacing w:after="80" w:line="276"/>
      </w:pPr>
      <w:r>
        <w:rPr>
          <w:sz w:val="22"/>
          <w:szCs w:val="22"/>
        </w:rPr>
        <w:t xml:space="preserve">Aucune duplication de stockage, donc aucun coût supplémentaire ni risque de divergence entre deux copies.</w:t>
      </w:r>
    </w:p>
    <w:p>
      <w:pPr>
        <w:pStyle w:val="ListParagraph"/>
        <w:numPr>
          <w:ilvl w:val="0"/>
          <w:numId w:val="2"/>
        </w:numPr>
        <w:spacing w:after="80" w:line="276"/>
      </w:pPr>
      <w:r>
        <w:rPr>
          <w:sz w:val="22"/>
          <w:szCs w:val="22"/>
        </w:rPr>
        <w:t xml:space="preserve">Les données restent maîtrisées dans le compte de stockage Azure, conformément à une gouvernance centralisée.</w:t>
      </w:r>
    </w:p>
    <w:p>
      <w:pPr>
        <w:pStyle w:val="ListParagraph"/>
        <w:numPr>
          <w:ilvl w:val="0"/>
          <w:numId w:val="2"/>
        </w:numPr>
        <w:spacing w:after="80" w:line="276"/>
      </w:pPr>
      <w:r>
        <w:rPr>
          <w:sz w:val="22"/>
          <w:szCs w:val="22"/>
        </w:rPr>
        <w:t xml:space="preserve">Toute nouvelle donnée déposée par ADF dans le conteneur bronze est immédiatement visible depuis Fabric, sans action supplémentaire.</w:t>
      </w:r>
    </w:p>
    <w:p>
      <w:pPr>
        <w:spacing w:after="120" w:line="276"/>
      </w:pPr>
      <w:r>
        <w:rPr>
          <w:sz w:val="22"/>
          <w:szCs w:val="22"/>
        </w:rPr>
        <w:t xml:space="preserve">Il en résulte une distinction architecturale importante : la couche bronze demeure physiquement dans Azure Data Lake, tandis que les couches silver et gold sont matérialisées dans OneLake, le stockage interne de Fabric. Les transformations n’altèrent donc jamais la source.</w:t>
      </w:r>
    </w:p>
    <w:p>
      <w:pPr>
        <w:spacing w:after="60" w:before="16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i/>
          <w:iCs/>
          <w:color w:val="595959"/>
          <w:sz w:val="18"/>
          <w:szCs w:val="18"/>
        </w:rPr>
        <w:t xml:space="preserve">Figure 10 — Explorateur du Lakehouse : tables Delta sous dbo et fichiers bronze accessibles par raccourci</w:t>
      </w:r>
    </w:p>
    <w:p>
      <w:pPr>
        <w:spacing w:after="120" w:line="276"/>
      </w:pPr>
      <w:r>
        <w:rPr>
          <w:sz w:val="22"/>
          <w:szCs w:val="22"/>
        </w:rPr>
        <w:t xml:space="preserve">L’explorateur ci-dessus donne une vue complète du résultat final : la section Tables contient les quatre tables Delta produites par le pipeline (silver_orders, dim_supplier, dim_date et fact_shipment), tandis que la section Files expose le dossier bronze — virtualisé depuis Azure Data Lake — et le dossier silver contenant la copie Parquet intermédiaire.</w:t>
      </w:r>
    </w:p>
    <w:p>
      <w:pPr>
        <w:pStyle w:val="Heading2"/>
        <w:spacing w:after="140" w:before="280"/>
      </w:pPr>
      <w:r>
        <w:rPr>
          <w:b/>
          <w:bCs/>
          <w:color w:val="2E5496"/>
          <w:sz w:val="26"/>
          <w:szCs w:val="26"/>
        </w:rPr>
        <w:t xml:space="preserve">9.2 Notebook 01_bronze_to_silver</w:t>
      </w:r>
    </w:p>
    <w:p>
      <w:pPr>
        <w:spacing w:after="120" w:line="276"/>
      </w:pPr>
      <w:r>
        <w:rPr>
          <w:sz w:val="22"/>
          <w:szCs w:val="22"/>
        </w:rPr>
        <w:t xml:space="preserve">Un notebook PySpark a été créé et rattaché au Lakehouse pour assurer le passage de la couche bronze à la couche silver.</w:t>
      </w:r>
    </w:p>
    <w:p>
      <w:pPr>
        <w:pStyle w:val="Heading3"/>
        <w:spacing w:after="120" w:before="220"/>
      </w:pPr>
      <w:r>
        <w:rPr>
          <w:b/>
          <w:bCs/>
          <w:color w:val="44546A"/>
          <w:sz w:val="23"/>
          <w:szCs w:val="23"/>
        </w:rPr>
        <w:t xml:space="preserve">9.2.1 Profilage des données</w:t>
      </w:r>
    </w:p>
    <w:p>
      <w:pPr>
        <w:spacing w:after="120" w:line="276"/>
      </w:pPr>
      <w:r>
        <w:rPr>
          <w:sz w:val="22"/>
          <w:szCs w:val="22"/>
        </w:rPr>
        <w:t xml:space="preserve">La première étape a consisté à lire le fichier Parquet et à inspecter son contenu, avant toute transformation. Cette étape de profilage est essentielle : elle conditionne l’ensemble des règles de nettoyage à appliquer.</w:t>
      </w:r>
    </w:p>
    <w:p>
      <w:pPr>
        <w:keepNext/>
        <w:shd w:fill="F2F2F2" w:val="clear"/>
        <w:spacing w:after="0" w:line="240"/>
        <w:ind w:left="340"/>
      </w:pPr>
      <w:r>
        <w:rPr>
          <w:rFonts w:ascii="Consolas" w:cs="Consolas" w:eastAsia="Consolas" w:hAnsi="Consolas"/>
          <w:sz w:val="17"/>
          <w:szCs w:val="17"/>
        </w:rPr>
        <w:t xml:space="preserve">df_bronze = spark.read.parquet("Files/bronze/orders/orders.parquet")</w:t>
      </w:r>
    </w:p>
    <w:p>
      <w:pPr>
        <w:keepNext/>
        <w:shd w:fill="F2F2F2" w:val="clear"/>
        <w:spacing w:after="0" w:line="240"/>
        <w:ind w:left="340"/>
      </w:pPr>
      <w:r>
        <w:rPr>
          <w:rFonts w:ascii="Consolas" w:cs="Consolas" w:eastAsia="Consolas" w:hAnsi="Consolas"/>
          <w:sz w:val="17"/>
          <w:szCs w:val="17"/>
        </w:rPr>
        <w:t xml:space="preserve">df_bronze.printSchema()</w:t>
      </w:r>
    </w:p>
    <w:p>
      <w:pPr>
        <w:keepNext/>
        <w:shd w:fill="F2F2F2" w:val="clear"/>
        <w:spacing w:after="0" w:line="240"/>
        <w:ind w:left="340"/>
      </w:pPr>
      <w:r>
        <w:rPr>
          <w:rFonts w:ascii="Consolas" w:cs="Consolas" w:eastAsia="Consolas" w:hAnsi="Consolas"/>
          <w:sz w:val="17"/>
          <w:szCs w:val="17"/>
        </w:rPr>
        <w:t xml:space="preserve">df_bronze.show(5)</w:t>
      </w:r>
    </w:p>
    <w:p>
      <w:pPr>
        <w:keepNext w:val="false"/>
        <w:shd w:fill="F2F2F2" w:val="clear"/>
        <w:spacing w:after="160" w:line="240"/>
        <w:ind w:left="340"/>
      </w:pPr>
      <w:r>
        <w:rPr>
          <w:rFonts w:ascii="Consolas" w:cs="Consolas" w:eastAsia="Consolas" w:hAnsi="Consolas"/>
          <w:sz w:val="17"/>
          <w:szCs w:val="17"/>
        </w:rPr>
        <w:t xml:space="preserve">print(f"Row count: {df_bronze.count()}")</w:t>
      </w:r>
    </w:p>
    <w:p>
      <w:pPr>
        <w:spacing w:after="60" w:before="160"/>
        <w:jc w:val="center"/>
      </w:pPr>
      <w:r>
        <w:drawing>
          <wp:inline distT="0" distB="0" distL="0" distR="0">
            <wp:extent cx="5715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47975"/>
                    </a:xfrm>
                    <a:prstGeom prst="rect">
                      <a:avLst/>
                    </a:prstGeom>
                  </pic:spPr>
                </pic:pic>
              </a:graphicData>
            </a:graphic>
          </wp:inline>
        </w:drawing>
      </w:r>
    </w:p>
    <w:p>
      <w:pPr>
        <w:spacing w:after="240"/>
        <w:jc w:val="center"/>
      </w:pPr>
      <w:r>
        <w:rPr>
          <w:i/>
          <w:iCs/>
          <w:color w:val="595959"/>
          <w:sz w:val="18"/>
          <w:szCs w:val="18"/>
        </w:rPr>
        <w:t xml:space="preserve">Figure 11 — Exécution de la cellule de lecture dans le notebook 01_bronze_to_silver</w:t>
      </w:r>
    </w:p>
    <w:p>
      <w:pPr>
        <w:spacing w:after="60" w:before="16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90925"/>
                    </a:xfrm>
                    <a:prstGeom prst="rect">
                      <a:avLst/>
                    </a:prstGeom>
                  </pic:spPr>
                </pic:pic>
              </a:graphicData>
            </a:graphic>
          </wp:inline>
        </w:drawing>
      </w:r>
    </w:p>
    <w:p>
      <w:pPr>
        <w:spacing w:after="240"/>
        <w:jc w:val="center"/>
      </w:pPr>
      <w:r>
        <w:rPr>
          <w:i/>
          <w:iCs/>
          <w:color w:val="595959"/>
          <w:sz w:val="18"/>
          <w:szCs w:val="18"/>
        </w:rPr>
        <w:t xml:space="preserve">Figure 12 — Lecture du fichier Parquet bronze et inspection du schéma</w:t>
      </w:r>
    </w:p>
    <w:p>
      <w:pPr>
        <w:spacing w:after="120" w:line="276"/>
      </w:pPr>
      <w:r>
        <w:rPr>
          <w:sz w:val="22"/>
          <w:szCs w:val="22"/>
        </w:rPr>
        <w:t xml:space="preserve">Le comptage renvoie 180 519 lignes, identique au volume de la table de staging SQL Server. Cette égalité valide l’intégrité de toute la chaîne amont : SSIS, Azure Data Factory et le raccourci OneLake n’ont ni perdu ni dupliqué d’enregistrement.</w:t>
      </w:r>
    </w:p>
    <w:p>
      <w:pPr>
        <w:spacing w:after="60" w:before="16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828800"/>
                    </a:xfrm>
                    <a:prstGeom prst="rect">
                      <a:avLst/>
                    </a:prstGeom>
                  </pic:spPr>
                </pic:pic>
              </a:graphicData>
            </a:graphic>
          </wp:inline>
        </w:drawing>
      </w:r>
    </w:p>
    <w:p>
      <w:pPr>
        <w:spacing w:after="240"/>
        <w:jc w:val="center"/>
      </w:pPr>
      <w:r>
        <w:rPr>
          <w:i/>
          <w:iCs/>
          <w:color w:val="595959"/>
          <w:sz w:val="18"/>
          <w:szCs w:val="18"/>
        </w:rPr>
        <w:t xml:space="preserve">Figure 13 — Liste complète des 53 colonnes du jeu de données</w:t>
      </w:r>
    </w:p>
    <w:p>
      <w:pPr>
        <w:spacing w:after="60" w:before="16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162175"/>
                    </a:xfrm>
                    <a:prstGeom prst="rect">
                      <a:avLst/>
                    </a:prstGeom>
                  </pic:spPr>
                </pic:pic>
              </a:graphicData>
            </a:graphic>
          </wp:inline>
        </w:drawing>
      </w:r>
    </w:p>
    <w:p>
      <w:pPr>
        <w:spacing w:after="240"/>
        <w:jc w:val="center"/>
      </w:pPr>
      <w:r>
        <w:rPr>
          <w:i/>
          <w:iCs/>
          <w:color w:val="595959"/>
          <w:sz w:val="18"/>
          <w:szCs w:val="18"/>
        </w:rPr>
        <w:t xml:space="preserve">Figure 14 — Aperçu des valeurs réelles (trois premières lignes)</w:t>
      </w:r>
    </w:p>
    <w:p>
      <w:pPr>
        <w:spacing w:after="60" w:before="16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457575"/>
                    </a:xfrm>
                    <a:prstGeom prst="rect">
                      <a:avLst/>
                    </a:prstGeom>
                  </pic:spPr>
                </pic:pic>
              </a:graphicData>
            </a:graphic>
          </wp:inline>
        </w:drawing>
      </w:r>
    </w:p>
    <w:p>
      <w:pPr>
        <w:spacing w:after="240"/>
        <w:jc w:val="center"/>
      </w:pPr>
      <w:r>
        <w:rPr>
          <w:i/>
          <w:iCs/>
          <w:color w:val="595959"/>
          <w:sz w:val="18"/>
          <w:szCs w:val="18"/>
        </w:rPr>
        <w:t xml:space="preserve">Figure 15 — Types de données inférés par Spark à la lecture du Parquet</w:t>
      </w:r>
    </w:p>
    <w:p>
      <w:pPr>
        <w:pStyle w:val="Heading3"/>
        <w:spacing w:after="120" w:before="220"/>
      </w:pPr>
      <w:r>
        <w:rPr>
          <w:b/>
          <w:bCs/>
          <w:color w:val="44546A"/>
          <w:sz w:val="23"/>
          <w:szCs w:val="23"/>
        </w:rPr>
        <w:t xml:space="preserve">9.2.2 Anomalies de typage identifiées</w:t>
      </w:r>
    </w:p>
    <w:p>
      <w:pPr>
        <w:spacing w:after="120" w:line="276"/>
      </w:pPr>
      <w:r>
        <w:rPr>
          <w:sz w:val="22"/>
          <w:szCs w:val="22"/>
        </w:rPr>
        <w:t xml:space="preserve">Le profilage a révélé que douze colonnes numériques étaient interprétées comme des chaînes de caractères. Cette situation, fréquente lorsque le typage n’a pas été strictement contrôlé en amont, rend impossible toute agrégation (somme, moyenne) et tout tri numérique en aval.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426"/>
      </w:tblGrid>
      <w:tr>
        <w:trPr>
          <w:tblHeader/>
        </w:trPr>
        <w:tc>
          <w:tcPr>
            <w:tcW w:type="dxa" w:w="2600"/>
            <w:shd w:fill="D9E2F3" w:val="clear"/>
            <w:tcMar>
              <w:top w:type="dxa" w:w="80"/>
              <w:left w:type="dxa" w:w="110"/>
              <w:bottom w:type="dxa" w:w="80"/>
              <w:right w:type="dxa" w:w="110"/>
            </w:tcMar>
          </w:tcPr>
          <w:p>
            <w:pPr>
              <w:spacing w:after="0" w:line="240"/>
            </w:pPr>
            <w:r>
              <w:rPr>
                <w:b/>
                <w:bCs/>
                <w:sz w:val="19"/>
                <w:szCs w:val="19"/>
              </w:rPr>
              <w:t xml:space="preserve">Colonne</w:t>
            </w:r>
          </w:p>
        </w:tc>
        <w:tc>
          <w:tcPr>
            <w:tcW w:type="dxa" w:w="1500"/>
            <w:shd w:fill="D9E2F3" w:val="clear"/>
            <w:tcMar>
              <w:top w:type="dxa" w:w="80"/>
              <w:left w:type="dxa" w:w="110"/>
              <w:bottom w:type="dxa" w:w="80"/>
              <w:right w:type="dxa" w:w="110"/>
            </w:tcMar>
          </w:tcPr>
          <w:p>
            <w:pPr>
              <w:spacing w:after="0" w:line="240"/>
            </w:pPr>
            <w:r>
              <w:rPr>
                <w:b/>
                <w:bCs/>
                <w:sz w:val="19"/>
                <w:szCs w:val="19"/>
              </w:rPr>
              <w:t xml:space="preserve">Type initial</w:t>
            </w:r>
          </w:p>
        </w:tc>
        <w:tc>
          <w:tcPr>
            <w:tcW w:type="dxa" w:w="1500"/>
            <w:shd w:fill="D9E2F3" w:val="clear"/>
            <w:tcMar>
              <w:top w:type="dxa" w:w="80"/>
              <w:left w:type="dxa" w:w="110"/>
              <w:bottom w:type="dxa" w:w="80"/>
              <w:right w:type="dxa" w:w="110"/>
            </w:tcMar>
          </w:tcPr>
          <w:p>
            <w:pPr>
              <w:spacing w:after="0" w:line="240"/>
            </w:pPr>
            <w:r>
              <w:rPr>
                <w:b/>
                <w:bCs/>
                <w:sz w:val="19"/>
                <w:szCs w:val="19"/>
              </w:rPr>
              <w:t xml:space="preserve">Type cible</w:t>
            </w:r>
          </w:p>
        </w:tc>
        <w:tc>
          <w:tcPr>
            <w:tcW w:type="dxa" w:w="3426"/>
            <w:shd w:fill="D9E2F3" w:val="clear"/>
            <w:tcMar>
              <w:top w:type="dxa" w:w="80"/>
              <w:left w:type="dxa" w:w="110"/>
              <w:bottom w:type="dxa" w:w="80"/>
              <w:right w:type="dxa" w:w="110"/>
            </w:tcMar>
          </w:tcPr>
          <w:p>
            <w:pPr>
              <w:spacing w:after="0" w:line="240"/>
            </w:pPr>
            <w:r>
              <w:rPr>
                <w:b/>
                <w:bCs/>
                <w:sz w:val="19"/>
                <w:szCs w:val="19"/>
              </w:rPr>
              <w:t xml:space="preserve">Motif</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Benefit_per_order</w:t>
            </w:r>
          </w:p>
        </w:tc>
        <w:tc>
          <w:tcPr>
            <w:tcW w:type="dxa" w:w="1500"/>
            <w:tcMar>
              <w:top w:type="dxa" w:w="80"/>
              <w:left w:type="dxa" w:w="110"/>
              <w:bottom w:type="dxa" w:w="80"/>
              <w:right w:type="dxa" w:w="110"/>
            </w:tcMar>
          </w:tcPr>
          <w:p>
            <w:pPr>
              <w:spacing w:after="0" w:line="240"/>
            </w:pPr>
            <w:r>
              <w:rPr>
                <w:b w:val="false"/>
                <w:bCs w:val="false"/>
                <w:sz w:val="19"/>
                <w:szCs w:val="19"/>
              </w:rPr>
              <w:t xml:space="preserve">string</w:t>
            </w:r>
          </w:p>
        </w:tc>
        <w:tc>
          <w:tcPr>
            <w:tcW w:type="dxa" w:w="1500"/>
            <w:tcMar>
              <w:top w:type="dxa" w:w="80"/>
              <w:left w:type="dxa" w:w="110"/>
              <w:bottom w:type="dxa" w:w="80"/>
              <w:right w:type="dxa" w:w="110"/>
            </w:tcMar>
          </w:tcPr>
          <w:p>
            <w:pPr>
              <w:spacing w:after="0" w:line="240"/>
            </w:pPr>
            <w:r>
              <w:rPr>
                <w:b w:val="false"/>
                <w:bCs w:val="false"/>
                <w:sz w:val="19"/>
                <w:szCs w:val="19"/>
              </w:rPr>
              <w:t xml:space="preserve">double</w:t>
            </w:r>
          </w:p>
        </w:tc>
        <w:tc>
          <w:tcPr>
            <w:tcW w:type="dxa" w:w="3426"/>
            <w:tcMar>
              <w:top w:type="dxa" w:w="80"/>
              <w:left w:type="dxa" w:w="110"/>
              <w:bottom w:type="dxa" w:w="80"/>
              <w:right w:type="dxa" w:w="110"/>
            </w:tcMar>
          </w:tcPr>
          <w:p>
            <w:pPr>
              <w:spacing w:after="0" w:line="240"/>
            </w:pPr>
            <w:r>
              <w:rPr>
                <w:b w:val="false"/>
                <w:bCs w:val="false"/>
                <w:sz w:val="19"/>
                <w:szCs w:val="19"/>
              </w:rPr>
              <w:t xml:space="preserve">Montant financier</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Sales_per_customer</w:t>
            </w:r>
          </w:p>
        </w:tc>
        <w:tc>
          <w:tcPr>
            <w:tcW w:type="dxa" w:w="1500"/>
            <w:tcMar>
              <w:top w:type="dxa" w:w="80"/>
              <w:left w:type="dxa" w:w="110"/>
              <w:bottom w:type="dxa" w:w="80"/>
              <w:right w:type="dxa" w:w="110"/>
            </w:tcMar>
          </w:tcPr>
          <w:p>
            <w:pPr>
              <w:spacing w:after="0" w:line="240"/>
            </w:pPr>
            <w:r>
              <w:rPr>
                <w:b w:val="false"/>
                <w:bCs w:val="false"/>
                <w:sz w:val="19"/>
                <w:szCs w:val="19"/>
              </w:rPr>
              <w:t xml:space="preserve">string</w:t>
            </w:r>
          </w:p>
        </w:tc>
        <w:tc>
          <w:tcPr>
            <w:tcW w:type="dxa" w:w="1500"/>
            <w:tcMar>
              <w:top w:type="dxa" w:w="80"/>
              <w:left w:type="dxa" w:w="110"/>
              <w:bottom w:type="dxa" w:w="80"/>
              <w:right w:type="dxa" w:w="110"/>
            </w:tcMar>
          </w:tcPr>
          <w:p>
            <w:pPr>
              <w:spacing w:after="0" w:line="240"/>
            </w:pPr>
            <w:r>
              <w:rPr>
                <w:b w:val="false"/>
                <w:bCs w:val="false"/>
                <w:sz w:val="19"/>
                <w:szCs w:val="19"/>
              </w:rPr>
              <w:t xml:space="preserve">double</w:t>
            </w:r>
          </w:p>
        </w:tc>
        <w:tc>
          <w:tcPr>
            <w:tcW w:type="dxa" w:w="3426"/>
            <w:tcMar>
              <w:top w:type="dxa" w:w="80"/>
              <w:left w:type="dxa" w:w="110"/>
              <w:bottom w:type="dxa" w:w="80"/>
              <w:right w:type="dxa" w:w="110"/>
            </w:tcMar>
          </w:tcPr>
          <w:p>
            <w:pPr>
              <w:spacing w:after="0" w:line="240"/>
            </w:pPr>
            <w:r>
              <w:rPr>
                <w:b w:val="false"/>
                <w:bCs w:val="false"/>
                <w:sz w:val="19"/>
                <w:szCs w:val="19"/>
              </w:rPr>
              <w:t xml:space="preserve">Montant financier</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Sales</w:t>
            </w:r>
          </w:p>
        </w:tc>
        <w:tc>
          <w:tcPr>
            <w:tcW w:type="dxa" w:w="1500"/>
            <w:tcMar>
              <w:top w:type="dxa" w:w="80"/>
              <w:left w:type="dxa" w:w="110"/>
              <w:bottom w:type="dxa" w:w="80"/>
              <w:right w:type="dxa" w:w="110"/>
            </w:tcMar>
          </w:tcPr>
          <w:p>
            <w:pPr>
              <w:spacing w:after="0" w:line="240"/>
            </w:pPr>
            <w:r>
              <w:rPr>
                <w:b w:val="false"/>
                <w:bCs w:val="false"/>
                <w:sz w:val="19"/>
                <w:szCs w:val="19"/>
              </w:rPr>
              <w:t xml:space="preserve">string</w:t>
            </w:r>
          </w:p>
        </w:tc>
        <w:tc>
          <w:tcPr>
            <w:tcW w:type="dxa" w:w="1500"/>
            <w:tcMar>
              <w:top w:type="dxa" w:w="80"/>
              <w:left w:type="dxa" w:w="110"/>
              <w:bottom w:type="dxa" w:w="80"/>
              <w:right w:type="dxa" w:w="110"/>
            </w:tcMar>
          </w:tcPr>
          <w:p>
            <w:pPr>
              <w:spacing w:after="0" w:line="240"/>
            </w:pPr>
            <w:r>
              <w:rPr>
                <w:b w:val="false"/>
                <w:bCs w:val="false"/>
                <w:sz w:val="19"/>
                <w:szCs w:val="19"/>
              </w:rPr>
              <w:t xml:space="preserve">double</w:t>
            </w:r>
          </w:p>
        </w:tc>
        <w:tc>
          <w:tcPr>
            <w:tcW w:type="dxa" w:w="3426"/>
            <w:tcMar>
              <w:top w:type="dxa" w:w="80"/>
              <w:left w:type="dxa" w:w="110"/>
              <w:bottom w:type="dxa" w:w="80"/>
              <w:right w:type="dxa" w:w="110"/>
            </w:tcMar>
          </w:tcPr>
          <w:p>
            <w:pPr>
              <w:spacing w:after="0" w:line="240"/>
            </w:pPr>
            <w:r>
              <w:rPr>
                <w:b w:val="false"/>
                <w:bCs w:val="false"/>
                <w:sz w:val="19"/>
                <w:szCs w:val="19"/>
              </w:rPr>
              <w:t xml:space="preserve">Montant financier</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Order_Item_Total</w:t>
            </w:r>
          </w:p>
        </w:tc>
        <w:tc>
          <w:tcPr>
            <w:tcW w:type="dxa" w:w="1500"/>
            <w:tcMar>
              <w:top w:type="dxa" w:w="80"/>
              <w:left w:type="dxa" w:w="110"/>
              <w:bottom w:type="dxa" w:w="80"/>
              <w:right w:type="dxa" w:w="110"/>
            </w:tcMar>
          </w:tcPr>
          <w:p>
            <w:pPr>
              <w:spacing w:after="0" w:line="240"/>
            </w:pPr>
            <w:r>
              <w:rPr>
                <w:b w:val="false"/>
                <w:bCs w:val="false"/>
                <w:sz w:val="19"/>
                <w:szCs w:val="19"/>
              </w:rPr>
              <w:t xml:space="preserve">string</w:t>
            </w:r>
          </w:p>
        </w:tc>
        <w:tc>
          <w:tcPr>
            <w:tcW w:type="dxa" w:w="1500"/>
            <w:tcMar>
              <w:top w:type="dxa" w:w="80"/>
              <w:left w:type="dxa" w:w="110"/>
              <w:bottom w:type="dxa" w:w="80"/>
              <w:right w:type="dxa" w:w="110"/>
            </w:tcMar>
          </w:tcPr>
          <w:p>
            <w:pPr>
              <w:spacing w:after="0" w:line="240"/>
            </w:pPr>
            <w:r>
              <w:rPr>
                <w:b w:val="false"/>
                <w:bCs w:val="false"/>
                <w:sz w:val="19"/>
                <w:szCs w:val="19"/>
              </w:rPr>
              <w:t xml:space="preserve">double</w:t>
            </w:r>
          </w:p>
        </w:tc>
        <w:tc>
          <w:tcPr>
            <w:tcW w:type="dxa" w:w="3426"/>
            <w:tcMar>
              <w:top w:type="dxa" w:w="80"/>
              <w:left w:type="dxa" w:w="110"/>
              <w:bottom w:type="dxa" w:w="80"/>
              <w:right w:type="dxa" w:w="110"/>
            </w:tcMar>
          </w:tcPr>
          <w:p>
            <w:pPr>
              <w:spacing w:after="0" w:line="240"/>
            </w:pPr>
            <w:r>
              <w:rPr>
                <w:b w:val="false"/>
                <w:bCs w:val="false"/>
                <w:sz w:val="19"/>
                <w:szCs w:val="19"/>
              </w:rPr>
              <w:t xml:space="preserve">Montant financier</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Order_Profit_Per_Order</w:t>
            </w:r>
          </w:p>
        </w:tc>
        <w:tc>
          <w:tcPr>
            <w:tcW w:type="dxa" w:w="1500"/>
            <w:tcMar>
              <w:top w:type="dxa" w:w="80"/>
              <w:left w:type="dxa" w:w="110"/>
              <w:bottom w:type="dxa" w:w="80"/>
              <w:right w:type="dxa" w:w="110"/>
            </w:tcMar>
          </w:tcPr>
          <w:p>
            <w:pPr>
              <w:spacing w:after="0" w:line="240"/>
            </w:pPr>
            <w:r>
              <w:rPr>
                <w:b w:val="false"/>
                <w:bCs w:val="false"/>
                <w:sz w:val="19"/>
                <w:szCs w:val="19"/>
              </w:rPr>
              <w:t xml:space="preserve">string</w:t>
            </w:r>
          </w:p>
        </w:tc>
        <w:tc>
          <w:tcPr>
            <w:tcW w:type="dxa" w:w="1500"/>
            <w:tcMar>
              <w:top w:type="dxa" w:w="80"/>
              <w:left w:type="dxa" w:w="110"/>
              <w:bottom w:type="dxa" w:w="80"/>
              <w:right w:type="dxa" w:w="110"/>
            </w:tcMar>
          </w:tcPr>
          <w:p>
            <w:pPr>
              <w:spacing w:after="0" w:line="240"/>
            </w:pPr>
            <w:r>
              <w:rPr>
                <w:b w:val="false"/>
                <w:bCs w:val="false"/>
                <w:sz w:val="19"/>
                <w:szCs w:val="19"/>
              </w:rPr>
              <w:t xml:space="preserve">double</w:t>
            </w:r>
          </w:p>
        </w:tc>
        <w:tc>
          <w:tcPr>
            <w:tcW w:type="dxa" w:w="3426"/>
            <w:tcMar>
              <w:top w:type="dxa" w:w="80"/>
              <w:left w:type="dxa" w:w="110"/>
              <w:bottom w:type="dxa" w:w="80"/>
              <w:right w:type="dxa" w:w="110"/>
            </w:tcMar>
          </w:tcPr>
          <w:p>
            <w:pPr>
              <w:spacing w:after="0" w:line="240"/>
            </w:pPr>
            <w:r>
              <w:rPr>
                <w:b w:val="false"/>
                <w:bCs w:val="false"/>
                <w:sz w:val="19"/>
                <w:szCs w:val="19"/>
              </w:rPr>
              <w:t xml:space="preserve">Montant financier</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Order_Item_Product_Price</w:t>
            </w:r>
          </w:p>
        </w:tc>
        <w:tc>
          <w:tcPr>
            <w:tcW w:type="dxa" w:w="1500"/>
            <w:tcMar>
              <w:top w:type="dxa" w:w="80"/>
              <w:left w:type="dxa" w:w="110"/>
              <w:bottom w:type="dxa" w:w="80"/>
              <w:right w:type="dxa" w:w="110"/>
            </w:tcMar>
          </w:tcPr>
          <w:p>
            <w:pPr>
              <w:spacing w:after="0" w:line="240"/>
            </w:pPr>
            <w:r>
              <w:rPr>
                <w:b w:val="false"/>
                <w:bCs w:val="false"/>
                <w:sz w:val="19"/>
                <w:szCs w:val="19"/>
              </w:rPr>
              <w:t xml:space="preserve">string</w:t>
            </w:r>
          </w:p>
        </w:tc>
        <w:tc>
          <w:tcPr>
            <w:tcW w:type="dxa" w:w="1500"/>
            <w:tcMar>
              <w:top w:type="dxa" w:w="80"/>
              <w:left w:type="dxa" w:w="110"/>
              <w:bottom w:type="dxa" w:w="80"/>
              <w:right w:type="dxa" w:w="110"/>
            </w:tcMar>
          </w:tcPr>
          <w:p>
            <w:pPr>
              <w:spacing w:after="0" w:line="240"/>
            </w:pPr>
            <w:r>
              <w:rPr>
                <w:b w:val="false"/>
                <w:bCs w:val="false"/>
                <w:sz w:val="19"/>
                <w:szCs w:val="19"/>
              </w:rPr>
              <w:t xml:space="preserve">double</w:t>
            </w:r>
          </w:p>
        </w:tc>
        <w:tc>
          <w:tcPr>
            <w:tcW w:type="dxa" w:w="3426"/>
            <w:tcMar>
              <w:top w:type="dxa" w:w="80"/>
              <w:left w:type="dxa" w:w="110"/>
              <w:bottom w:type="dxa" w:w="80"/>
              <w:right w:type="dxa" w:w="110"/>
            </w:tcMar>
          </w:tcPr>
          <w:p>
            <w:pPr>
              <w:spacing w:after="0" w:line="240"/>
            </w:pPr>
            <w:r>
              <w:rPr>
                <w:b w:val="false"/>
                <w:bCs w:val="false"/>
                <w:sz w:val="19"/>
                <w:szCs w:val="19"/>
              </w:rPr>
              <w:t xml:space="preserve">Montant financier</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Product_Price</w:t>
            </w:r>
          </w:p>
        </w:tc>
        <w:tc>
          <w:tcPr>
            <w:tcW w:type="dxa" w:w="1500"/>
            <w:tcMar>
              <w:top w:type="dxa" w:w="80"/>
              <w:left w:type="dxa" w:w="110"/>
              <w:bottom w:type="dxa" w:w="80"/>
              <w:right w:type="dxa" w:w="110"/>
            </w:tcMar>
          </w:tcPr>
          <w:p>
            <w:pPr>
              <w:spacing w:after="0" w:line="240"/>
            </w:pPr>
            <w:r>
              <w:rPr>
                <w:b w:val="false"/>
                <w:bCs w:val="false"/>
                <w:sz w:val="19"/>
                <w:szCs w:val="19"/>
              </w:rPr>
              <w:t xml:space="preserve">string</w:t>
            </w:r>
          </w:p>
        </w:tc>
        <w:tc>
          <w:tcPr>
            <w:tcW w:type="dxa" w:w="1500"/>
            <w:tcMar>
              <w:top w:type="dxa" w:w="80"/>
              <w:left w:type="dxa" w:w="110"/>
              <w:bottom w:type="dxa" w:w="80"/>
              <w:right w:type="dxa" w:w="110"/>
            </w:tcMar>
          </w:tcPr>
          <w:p>
            <w:pPr>
              <w:spacing w:after="0" w:line="240"/>
            </w:pPr>
            <w:r>
              <w:rPr>
                <w:b w:val="false"/>
                <w:bCs w:val="false"/>
                <w:sz w:val="19"/>
                <w:szCs w:val="19"/>
              </w:rPr>
              <w:t xml:space="preserve">double</w:t>
            </w:r>
          </w:p>
        </w:tc>
        <w:tc>
          <w:tcPr>
            <w:tcW w:type="dxa" w:w="3426"/>
            <w:tcMar>
              <w:top w:type="dxa" w:w="80"/>
              <w:left w:type="dxa" w:w="110"/>
              <w:bottom w:type="dxa" w:w="80"/>
              <w:right w:type="dxa" w:w="110"/>
            </w:tcMar>
          </w:tcPr>
          <w:p>
            <w:pPr>
              <w:spacing w:after="0" w:line="240"/>
            </w:pPr>
            <w:r>
              <w:rPr>
                <w:b w:val="false"/>
                <w:bCs w:val="false"/>
                <w:sz w:val="19"/>
                <w:szCs w:val="19"/>
              </w:rPr>
              <w:t xml:space="preserve">Montant financier</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Order_Item_Discount</w:t>
            </w:r>
          </w:p>
        </w:tc>
        <w:tc>
          <w:tcPr>
            <w:tcW w:type="dxa" w:w="1500"/>
            <w:tcMar>
              <w:top w:type="dxa" w:w="80"/>
              <w:left w:type="dxa" w:w="110"/>
              <w:bottom w:type="dxa" w:w="80"/>
              <w:right w:type="dxa" w:w="110"/>
            </w:tcMar>
          </w:tcPr>
          <w:p>
            <w:pPr>
              <w:spacing w:after="0" w:line="240"/>
            </w:pPr>
            <w:r>
              <w:rPr>
                <w:b w:val="false"/>
                <w:bCs w:val="false"/>
                <w:sz w:val="19"/>
                <w:szCs w:val="19"/>
              </w:rPr>
              <w:t xml:space="preserve">string</w:t>
            </w:r>
          </w:p>
        </w:tc>
        <w:tc>
          <w:tcPr>
            <w:tcW w:type="dxa" w:w="1500"/>
            <w:tcMar>
              <w:top w:type="dxa" w:w="80"/>
              <w:left w:type="dxa" w:w="110"/>
              <w:bottom w:type="dxa" w:w="80"/>
              <w:right w:type="dxa" w:w="110"/>
            </w:tcMar>
          </w:tcPr>
          <w:p>
            <w:pPr>
              <w:spacing w:after="0" w:line="240"/>
            </w:pPr>
            <w:r>
              <w:rPr>
                <w:b w:val="false"/>
                <w:bCs w:val="false"/>
                <w:sz w:val="19"/>
                <w:szCs w:val="19"/>
              </w:rPr>
              <w:t xml:space="preserve">double</w:t>
            </w:r>
          </w:p>
        </w:tc>
        <w:tc>
          <w:tcPr>
            <w:tcW w:type="dxa" w:w="3426"/>
            <w:tcMar>
              <w:top w:type="dxa" w:w="80"/>
              <w:left w:type="dxa" w:w="110"/>
              <w:bottom w:type="dxa" w:w="80"/>
              <w:right w:type="dxa" w:w="110"/>
            </w:tcMar>
          </w:tcPr>
          <w:p>
            <w:pPr>
              <w:spacing w:after="0" w:line="240"/>
            </w:pPr>
            <w:r>
              <w:rPr>
                <w:b w:val="false"/>
                <w:bCs w:val="false"/>
                <w:sz w:val="19"/>
                <w:szCs w:val="19"/>
              </w:rPr>
              <w:t xml:space="preserve">Montant financier</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Order_Item_Discount_Rate</w:t>
            </w:r>
          </w:p>
        </w:tc>
        <w:tc>
          <w:tcPr>
            <w:tcW w:type="dxa" w:w="1500"/>
            <w:tcMar>
              <w:top w:type="dxa" w:w="80"/>
              <w:left w:type="dxa" w:w="110"/>
              <w:bottom w:type="dxa" w:w="80"/>
              <w:right w:type="dxa" w:w="110"/>
            </w:tcMar>
          </w:tcPr>
          <w:p>
            <w:pPr>
              <w:spacing w:after="0" w:line="240"/>
            </w:pPr>
            <w:r>
              <w:rPr>
                <w:b w:val="false"/>
                <w:bCs w:val="false"/>
                <w:sz w:val="19"/>
                <w:szCs w:val="19"/>
              </w:rPr>
              <w:t xml:space="preserve">string</w:t>
            </w:r>
          </w:p>
        </w:tc>
        <w:tc>
          <w:tcPr>
            <w:tcW w:type="dxa" w:w="1500"/>
            <w:tcMar>
              <w:top w:type="dxa" w:w="80"/>
              <w:left w:type="dxa" w:w="110"/>
              <w:bottom w:type="dxa" w:w="80"/>
              <w:right w:type="dxa" w:w="110"/>
            </w:tcMar>
          </w:tcPr>
          <w:p>
            <w:pPr>
              <w:spacing w:after="0" w:line="240"/>
            </w:pPr>
            <w:r>
              <w:rPr>
                <w:b w:val="false"/>
                <w:bCs w:val="false"/>
                <w:sz w:val="19"/>
                <w:szCs w:val="19"/>
              </w:rPr>
              <w:t xml:space="preserve">double</w:t>
            </w:r>
          </w:p>
        </w:tc>
        <w:tc>
          <w:tcPr>
            <w:tcW w:type="dxa" w:w="3426"/>
            <w:tcMar>
              <w:top w:type="dxa" w:w="80"/>
              <w:left w:type="dxa" w:w="110"/>
              <w:bottom w:type="dxa" w:w="80"/>
              <w:right w:type="dxa" w:w="110"/>
            </w:tcMar>
          </w:tcPr>
          <w:p>
            <w:pPr>
              <w:spacing w:after="0" w:line="240"/>
            </w:pPr>
            <w:r>
              <w:rPr>
                <w:b w:val="false"/>
                <w:bCs w:val="false"/>
                <w:sz w:val="19"/>
                <w:szCs w:val="19"/>
              </w:rPr>
              <w:t xml:space="preserve">Taux</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Order_Item_Profit_Ratio</w:t>
            </w:r>
          </w:p>
        </w:tc>
        <w:tc>
          <w:tcPr>
            <w:tcW w:type="dxa" w:w="1500"/>
            <w:tcMar>
              <w:top w:type="dxa" w:w="80"/>
              <w:left w:type="dxa" w:w="110"/>
              <w:bottom w:type="dxa" w:w="80"/>
              <w:right w:type="dxa" w:w="110"/>
            </w:tcMar>
          </w:tcPr>
          <w:p>
            <w:pPr>
              <w:spacing w:after="0" w:line="240"/>
            </w:pPr>
            <w:r>
              <w:rPr>
                <w:b w:val="false"/>
                <w:bCs w:val="false"/>
                <w:sz w:val="19"/>
                <w:szCs w:val="19"/>
              </w:rPr>
              <w:t xml:space="preserve">string</w:t>
            </w:r>
          </w:p>
        </w:tc>
        <w:tc>
          <w:tcPr>
            <w:tcW w:type="dxa" w:w="1500"/>
            <w:tcMar>
              <w:top w:type="dxa" w:w="80"/>
              <w:left w:type="dxa" w:w="110"/>
              <w:bottom w:type="dxa" w:w="80"/>
              <w:right w:type="dxa" w:w="110"/>
            </w:tcMar>
          </w:tcPr>
          <w:p>
            <w:pPr>
              <w:spacing w:after="0" w:line="240"/>
            </w:pPr>
            <w:r>
              <w:rPr>
                <w:b w:val="false"/>
                <w:bCs w:val="false"/>
                <w:sz w:val="19"/>
                <w:szCs w:val="19"/>
              </w:rPr>
              <w:t xml:space="preserve">double</w:t>
            </w:r>
          </w:p>
        </w:tc>
        <w:tc>
          <w:tcPr>
            <w:tcW w:type="dxa" w:w="3426"/>
            <w:tcMar>
              <w:top w:type="dxa" w:w="80"/>
              <w:left w:type="dxa" w:w="110"/>
              <w:bottom w:type="dxa" w:w="80"/>
              <w:right w:type="dxa" w:w="110"/>
            </w:tcMar>
          </w:tcPr>
          <w:p>
            <w:pPr>
              <w:spacing w:after="0" w:line="240"/>
            </w:pPr>
            <w:r>
              <w:rPr>
                <w:b w:val="false"/>
                <w:bCs w:val="false"/>
                <w:sz w:val="19"/>
                <w:szCs w:val="19"/>
              </w:rPr>
              <w:t xml:space="preserve">Ratio</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Latitude</w:t>
            </w:r>
          </w:p>
        </w:tc>
        <w:tc>
          <w:tcPr>
            <w:tcW w:type="dxa" w:w="1500"/>
            <w:tcMar>
              <w:top w:type="dxa" w:w="80"/>
              <w:left w:type="dxa" w:w="110"/>
              <w:bottom w:type="dxa" w:w="80"/>
              <w:right w:type="dxa" w:w="110"/>
            </w:tcMar>
          </w:tcPr>
          <w:p>
            <w:pPr>
              <w:spacing w:after="0" w:line="240"/>
            </w:pPr>
            <w:r>
              <w:rPr>
                <w:b w:val="false"/>
                <w:bCs w:val="false"/>
                <w:sz w:val="19"/>
                <w:szCs w:val="19"/>
              </w:rPr>
              <w:t xml:space="preserve">string</w:t>
            </w:r>
          </w:p>
        </w:tc>
        <w:tc>
          <w:tcPr>
            <w:tcW w:type="dxa" w:w="1500"/>
            <w:tcMar>
              <w:top w:type="dxa" w:w="80"/>
              <w:left w:type="dxa" w:w="110"/>
              <w:bottom w:type="dxa" w:w="80"/>
              <w:right w:type="dxa" w:w="110"/>
            </w:tcMar>
          </w:tcPr>
          <w:p>
            <w:pPr>
              <w:spacing w:after="0" w:line="240"/>
            </w:pPr>
            <w:r>
              <w:rPr>
                <w:b w:val="false"/>
                <w:bCs w:val="false"/>
                <w:sz w:val="19"/>
                <w:szCs w:val="19"/>
              </w:rPr>
              <w:t xml:space="preserve">double</w:t>
            </w:r>
          </w:p>
        </w:tc>
        <w:tc>
          <w:tcPr>
            <w:tcW w:type="dxa" w:w="3426"/>
            <w:tcMar>
              <w:top w:type="dxa" w:w="80"/>
              <w:left w:type="dxa" w:w="110"/>
              <w:bottom w:type="dxa" w:w="80"/>
              <w:right w:type="dxa" w:w="110"/>
            </w:tcMar>
          </w:tcPr>
          <w:p>
            <w:pPr>
              <w:spacing w:after="0" w:line="240"/>
            </w:pPr>
            <w:r>
              <w:rPr>
                <w:b w:val="false"/>
                <w:bCs w:val="false"/>
                <w:sz w:val="19"/>
                <w:szCs w:val="19"/>
              </w:rPr>
              <w:t xml:space="preserve">Coordonnée géographique</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Longitude</w:t>
            </w:r>
          </w:p>
        </w:tc>
        <w:tc>
          <w:tcPr>
            <w:tcW w:type="dxa" w:w="1500"/>
            <w:tcMar>
              <w:top w:type="dxa" w:w="80"/>
              <w:left w:type="dxa" w:w="110"/>
              <w:bottom w:type="dxa" w:w="80"/>
              <w:right w:type="dxa" w:w="110"/>
            </w:tcMar>
          </w:tcPr>
          <w:p>
            <w:pPr>
              <w:spacing w:after="0" w:line="240"/>
            </w:pPr>
            <w:r>
              <w:rPr>
                <w:b w:val="false"/>
                <w:bCs w:val="false"/>
                <w:sz w:val="19"/>
                <w:szCs w:val="19"/>
              </w:rPr>
              <w:t xml:space="preserve">string</w:t>
            </w:r>
          </w:p>
        </w:tc>
        <w:tc>
          <w:tcPr>
            <w:tcW w:type="dxa" w:w="1500"/>
            <w:tcMar>
              <w:top w:type="dxa" w:w="80"/>
              <w:left w:type="dxa" w:w="110"/>
              <w:bottom w:type="dxa" w:w="80"/>
              <w:right w:type="dxa" w:w="110"/>
            </w:tcMar>
          </w:tcPr>
          <w:p>
            <w:pPr>
              <w:spacing w:after="0" w:line="240"/>
            </w:pPr>
            <w:r>
              <w:rPr>
                <w:b w:val="false"/>
                <w:bCs w:val="false"/>
                <w:sz w:val="19"/>
                <w:szCs w:val="19"/>
              </w:rPr>
              <w:t xml:space="preserve">double</w:t>
            </w:r>
          </w:p>
        </w:tc>
        <w:tc>
          <w:tcPr>
            <w:tcW w:type="dxa" w:w="3426"/>
            <w:tcMar>
              <w:top w:type="dxa" w:w="80"/>
              <w:left w:type="dxa" w:w="110"/>
              <w:bottom w:type="dxa" w:w="80"/>
              <w:right w:type="dxa" w:w="110"/>
            </w:tcMar>
          </w:tcPr>
          <w:p>
            <w:pPr>
              <w:spacing w:after="0" w:line="240"/>
            </w:pPr>
            <w:r>
              <w:rPr>
                <w:b w:val="false"/>
                <w:bCs w:val="false"/>
                <w:sz w:val="19"/>
                <w:szCs w:val="19"/>
              </w:rPr>
              <w:t xml:space="preserve">Coordonnée géographique</w:t>
            </w:r>
          </w:p>
        </w:tc>
      </w:tr>
    </w:tbl>
    <w:p>
      <w:pPr>
        <w:spacing w:after="120" w:line="276"/>
      </w:pPr>
      <w:r>
        <w:rPr>
          <w:sz w:val="22"/>
          <w:szCs w:val="22"/>
        </w:rPr>
        <w:t xml:space="preserve"/>
      </w:r>
    </w:p>
    <w:p>
      <w:pPr>
        <w:spacing w:after="120" w:line="276"/>
      </w:pPr>
      <w:r>
        <w:rPr>
          <w:sz w:val="22"/>
          <w:szCs w:val="22"/>
        </w:rPr>
        <w:t xml:space="preserve">À l’inverse, le profilage a confirmé que plusieurs colonnes étaient déjà correctement typées : les identifiants en entier, le champ Late_delivery_risk en booléen, et surtout les deux colonnes de dates (order_date_DateOrders et shipping_date_DateOrders) en horodatage — ce qui a évité une conversion de dates souvent délicate.</w:t>
      </w:r>
    </w:p>
    <w:p>
      <w:pPr>
        <w:pStyle w:val="Heading3"/>
        <w:spacing w:after="120" w:before="220"/>
      </w:pPr>
      <w:r>
        <w:rPr>
          <w:b/>
          <w:bCs/>
          <w:color w:val="44546A"/>
          <w:sz w:val="23"/>
          <w:szCs w:val="23"/>
        </w:rPr>
        <w:t xml:space="preserve">9.2.3 Traitement des données personnelles</w:t>
      </w:r>
    </w:p>
    <w:p>
      <w:pPr>
        <w:spacing w:after="120" w:line="276"/>
      </w:pPr>
      <w:r>
        <w:rPr>
          <w:sz w:val="22"/>
          <w:szCs w:val="22"/>
        </w:rPr>
        <w:t xml:space="preserve">La colonne Customer_Password a été purement et simplement supprimée de la couche silver. Un mot de passe n’a aucune utilité analytique et sa propagation dans un entrepôt décisionnel constituerait une faute de conformité. Ce choix illustre un principe de minimisation des données : ne conserver en aval que ce qui est strictement nécessaire à l’usage.</w:t>
      </w:r>
    </w:p>
    <w:p>
      <w:pPr>
        <w:spacing w:after="120" w:line="276"/>
      </w:pPr>
      <w:r>
        <w:rPr>
          <w:sz w:val="22"/>
          <w:szCs w:val="22"/>
        </w:rPr>
        <w:t xml:space="preserve">La colonne Customer_Email a été conservée dans le cadre de ce projet à vocation pédagogique, mais elle est identifiée comme donnée à caractère personnel. Dans un contexte de production, elle devrait faire l’objet d’un masquage, d’un hachage ou d’une restriction d’accès par sécurité au niveau des lignes.</w:t>
      </w:r>
    </w:p>
    <w:p>
      <w:pPr>
        <w:pStyle w:val="Heading3"/>
        <w:spacing w:after="120" w:before="220"/>
      </w:pPr>
      <w:r>
        <w:rPr>
          <w:b/>
          <w:bCs/>
          <w:color w:val="44546A"/>
          <w:sz w:val="23"/>
          <w:szCs w:val="23"/>
        </w:rPr>
        <w:t xml:space="preserve">9.2.4 Transformation appliquée</w:t>
      </w:r>
    </w:p>
    <w:p>
      <w:pPr>
        <w:keepNext/>
        <w:shd w:fill="F2F2F2" w:val="clear"/>
        <w:spacing w:after="0" w:line="240"/>
        <w:ind w:left="340"/>
      </w:pPr>
      <w:r>
        <w:rPr>
          <w:rFonts w:ascii="Consolas" w:cs="Consolas" w:eastAsia="Consolas" w:hAnsi="Consolas"/>
          <w:sz w:val="17"/>
          <w:szCs w:val="17"/>
        </w:rPr>
        <w:t xml:space="preserve">from pyspark.sql.functions import col</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numeric_cols = [</w:t>
      </w:r>
    </w:p>
    <w:p>
      <w:pPr>
        <w:keepNext/>
        <w:shd w:fill="F2F2F2" w:val="clear"/>
        <w:spacing w:after="0" w:line="240"/>
        <w:ind w:left="340"/>
      </w:pPr>
      <w:r>
        <w:rPr>
          <w:rFonts w:ascii="Consolas" w:cs="Consolas" w:eastAsia="Consolas" w:hAnsi="Consolas"/>
          <w:sz w:val="17"/>
          <w:szCs w:val="17"/>
        </w:rPr>
        <w:t xml:space="preserve">    "Benefit_per_order", "Sales_per_customer", "Latitude", "Longitude",</w:t>
      </w:r>
    </w:p>
    <w:p>
      <w:pPr>
        <w:keepNext/>
        <w:shd w:fill="F2F2F2" w:val="clear"/>
        <w:spacing w:after="0" w:line="240"/>
        <w:ind w:left="340"/>
      </w:pPr>
      <w:r>
        <w:rPr>
          <w:rFonts w:ascii="Consolas" w:cs="Consolas" w:eastAsia="Consolas" w:hAnsi="Consolas"/>
          <w:sz w:val="17"/>
          <w:szCs w:val="17"/>
        </w:rPr>
        <w:t xml:space="preserve">    "Order_Item_Discount", "Order_Item_Discount_Rate",</w:t>
      </w:r>
    </w:p>
    <w:p>
      <w:pPr>
        <w:keepNext/>
        <w:shd w:fill="F2F2F2" w:val="clear"/>
        <w:spacing w:after="0" w:line="240"/>
        <w:ind w:left="340"/>
      </w:pPr>
      <w:r>
        <w:rPr>
          <w:rFonts w:ascii="Consolas" w:cs="Consolas" w:eastAsia="Consolas" w:hAnsi="Consolas"/>
          <w:sz w:val="17"/>
          <w:szCs w:val="17"/>
        </w:rPr>
        <w:t xml:space="preserve">    "Order_Item_Product_Price", "Order_Item_Profit_Ratio", "Sales",</w:t>
      </w:r>
    </w:p>
    <w:p>
      <w:pPr>
        <w:keepNext/>
        <w:shd w:fill="F2F2F2" w:val="clear"/>
        <w:spacing w:after="0" w:line="240"/>
        <w:ind w:left="340"/>
      </w:pPr>
      <w:r>
        <w:rPr>
          <w:rFonts w:ascii="Consolas" w:cs="Consolas" w:eastAsia="Consolas" w:hAnsi="Consolas"/>
          <w:sz w:val="17"/>
          <w:szCs w:val="17"/>
        </w:rPr>
        <w:t xml:space="preserve">    "Order_Item_Total", "Order_Profit_Per_Order", "Product_Price"</w:t>
      </w:r>
    </w:p>
    <w:p>
      <w:pPr>
        <w:keepNext/>
        <w:shd w:fill="F2F2F2" w:val="clear"/>
        <w:spacing w:after="0" w:line="240"/>
        <w:ind w:left="340"/>
      </w:pPr>
      <w:r>
        <w:rPr>
          <w:rFonts w:ascii="Consolas" w:cs="Consolas" w:eastAsia="Consolas" w:hAnsi="Consolas"/>
          <w:sz w:val="17"/>
          <w:szCs w:val="17"/>
        </w:rPr>
        <w:t xml:space="preserve">]</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df_silver = df_bronze</w:t>
      </w:r>
    </w:p>
    <w:p>
      <w:pPr>
        <w:keepNext/>
        <w:shd w:fill="F2F2F2" w:val="clear"/>
        <w:spacing w:after="0" w:line="240"/>
        <w:ind w:left="340"/>
      </w:pPr>
      <w:r>
        <w:rPr>
          <w:rFonts w:ascii="Consolas" w:cs="Consolas" w:eastAsia="Consolas" w:hAnsi="Consolas"/>
          <w:sz w:val="17"/>
          <w:szCs w:val="17"/>
        </w:rPr>
        <w:t xml:space="preserve">for c in numeric_cols:</w:t>
      </w:r>
    </w:p>
    <w:p>
      <w:pPr>
        <w:keepNext/>
        <w:shd w:fill="F2F2F2" w:val="clear"/>
        <w:spacing w:after="0" w:line="240"/>
        <w:ind w:left="340"/>
      </w:pPr>
      <w:r>
        <w:rPr>
          <w:rFonts w:ascii="Consolas" w:cs="Consolas" w:eastAsia="Consolas" w:hAnsi="Consolas"/>
          <w:sz w:val="17"/>
          <w:szCs w:val="17"/>
        </w:rPr>
        <w:t xml:space="preserve">    df_silver = df_silver.withColumn(c, col(c).cast("double"))</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 Suppression de la colonne sensible</w:t>
      </w:r>
    </w:p>
    <w:p>
      <w:pPr>
        <w:keepNext/>
        <w:shd w:fill="F2F2F2" w:val="clear"/>
        <w:spacing w:after="0" w:line="240"/>
        <w:ind w:left="340"/>
      </w:pPr>
      <w:r>
        <w:rPr>
          <w:rFonts w:ascii="Consolas" w:cs="Consolas" w:eastAsia="Consolas" w:hAnsi="Consolas"/>
          <w:sz w:val="17"/>
          <w:szCs w:val="17"/>
        </w:rPr>
        <w:t xml:space="preserve">df_silver = df_silver.drop("Customer_Password")</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 Dedoublonnage</w:t>
      </w:r>
    </w:p>
    <w:p>
      <w:pPr>
        <w:keepNext w:val="false"/>
        <w:shd w:fill="F2F2F2" w:val="clear"/>
        <w:spacing w:after="160" w:line="240"/>
        <w:ind w:left="340"/>
      </w:pPr>
      <w:r>
        <w:rPr>
          <w:rFonts w:ascii="Consolas" w:cs="Consolas" w:eastAsia="Consolas" w:hAnsi="Consolas"/>
          <w:sz w:val="17"/>
          <w:szCs w:val="17"/>
        </w:rPr>
        <w:t xml:space="preserve">df_silver = df_silver.dropDuplicates()</w:t>
      </w:r>
    </w:p>
    <w:p>
      <w:pPr>
        <w:pStyle w:val="Heading2"/>
        <w:spacing w:after="140" w:before="280"/>
      </w:pPr>
      <w:r>
        <w:rPr>
          <w:b/>
          <w:bCs/>
          <w:color w:val="2E5496"/>
          <w:sz w:val="26"/>
          <w:szCs w:val="26"/>
        </w:rPr>
        <w:t xml:space="preserve">9.3 Contrôles de qualité des données</w:t>
      </w:r>
    </w:p>
    <w:p>
      <w:pPr>
        <w:spacing w:after="120" w:line="276"/>
      </w:pPr>
      <w:r>
        <w:rPr>
          <w:sz w:val="22"/>
          <w:szCs w:val="22"/>
        </w:rPr>
        <w:t xml:space="preserve">Un pipeline qui se contente de transformer sans vérifier n’offre aucune garantie. Une série de contrôles automatisés a donc été intégrée au notebook silver, portant sur quatre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rPr>
          <w:tblHeader/>
        </w:trPr>
        <w:tc>
          <w:tcPr>
            <w:tcW w:type="dxa" w:w="1800"/>
            <w:shd w:fill="D9E2F3" w:val="clear"/>
            <w:tcMar>
              <w:top w:type="dxa" w:w="80"/>
              <w:left w:type="dxa" w:w="110"/>
              <w:bottom w:type="dxa" w:w="80"/>
              <w:right w:type="dxa" w:w="110"/>
            </w:tcMar>
          </w:tcPr>
          <w:p>
            <w:pPr>
              <w:spacing w:after="0" w:line="240"/>
            </w:pPr>
            <w:r>
              <w:rPr>
                <w:b/>
                <w:bCs/>
                <w:sz w:val="19"/>
                <w:szCs w:val="19"/>
              </w:rPr>
              <w:t xml:space="preserve">Contrôle</w:t>
            </w:r>
          </w:p>
        </w:tc>
        <w:tc>
          <w:tcPr>
            <w:tcW w:type="dxa" w:w="4600"/>
            <w:shd w:fill="D9E2F3" w:val="clear"/>
            <w:tcMar>
              <w:top w:type="dxa" w:w="80"/>
              <w:left w:type="dxa" w:w="110"/>
              <w:bottom w:type="dxa" w:w="80"/>
              <w:right w:type="dxa" w:w="110"/>
            </w:tcMar>
          </w:tcPr>
          <w:p>
            <w:pPr>
              <w:spacing w:after="0" w:line="240"/>
            </w:pPr>
            <w:r>
              <w:rPr>
                <w:b/>
                <w:bCs/>
                <w:sz w:val="19"/>
                <w:szCs w:val="19"/>
              </w:rPr>
              <w:t xml:space="preserve">Objet</w:t>
            </w:r>
          </w:p>
        </w:tc>
        <w:tc>
          <w:tcPr>
            <w:tcW w:type="dxa" w:w="2626"/>
            <w:shd w:fill="D9E2F3" w:val="clear"/>
            <w:tcMar>
              <w:top w:type="dxa" w:w="80"/>
              <w:left w:type="dxa" w:w="110"/>
              <w:bottom w:type="dxa" w:w="80"/>
              <w:right w:type="dxa" w:w="110"/>
            </w:tcMar>
          </w:tcPr>
          <w:p>
            <w:pPr>
              <w:spacing w:after="0" w:line="240"/>
            </w:pPr>
            <w:r>
              <w:rPr>
                <w:b/>
                <w:bCs/>
                <w:sz w:val="19"/>
                <w:szCs w:val="19"/>
              </w:rPr>
              <w:t xml:space="preserve">Sévérité</w:t>
            </w:r>
          </w:p>
        </w:tc>
      </w:tr>
      <w:tr>
        <w:trPr>
          <w:tblHeader w:val="false"/>
        </w:trPr>
        <w:tc>
          <w:tcPr>
            <w:tcW w:type="dxa" w:w="1800"/>
            <w:tcMar>
              <w:top w:type="dxa" w:w="80"/>
              <w:left w:type="dxa" w:w="110"/>
              <w:bottom w:type="dxa" w:w="80"/>
              <w:right w:type="dxa" w:w="110"/>
            </w:tcMar>
          </w:tcPr>
          <w:p>
            <w:pPr>
              <w:spacing w:after="0" w:line="240"/>
            </w:pPr>
            <w:r>
              <w:rPr>
                <w:b w:val="false"/>
                <w:bCs w:val="false"/>
                <w:sz w:val="19"/>
                <w:szCs w:val="19"/>
              </w:rPr>
              <w:t xml:space="preserve">Volumétrie</w:t>
            </w:r>
          </w:p>
        </w:tc>
        <w:tc>
          <w:tcPr>
            <w:tcW w:type="dxa" w:w="4600"/>
            <w:tcMar>
              <w:top w:type="dxa" w:w="80"/>
              <w:left w:type="dxa" w:w="110"/>
              <w:bottom w:type="dxa" w:w="80"/>
              <w:right w:type="dxa" w:w="110"/>
            </w:tcMar>
          </w:tcPr>
          <w:p>
            <w:pPr>
              <w:spacing w:after="0" w:line="240"/>
            </w:pPr>
            <w:r>
              <w:rPr>
                <w:b w:val="false"/>
                <w:bCs w:val="false"/>
                <w:sz w:val="19"/>
                <w:szCs w:val="19"/>
              </w:rPr>
              <w:t xml:space="preserve">Vérifier que la table n’est pas vide</w:t>
            </w:r>
          </w:p>
        </w:tc>
        <w:tc>
          <w:tcPr>
            <w:tcW w:type="dxa" w:w="2626"/>
            <w:tcMar>
              <w:top w:type="dxa" w:w="80"/>
              <w:left w:type="dxa" w:w="110"/>
              <w:bottom w:type="dxa" w:w="80"/>
              <w:right w:type="dxa" w:w="110"/>
            </w:tcMar>
          </w:tcPr>
          <w:p>
            <w:pPr>
              <w:spacing w:after="0" w:line="240"/>
            </w:pPr>
            <w:r>
              <w:rPr>
                <w:b w:val="false"/>
                <w:bCs w:val="false"/>
                <w:sz w:val="19"/>
                <w:szCs w:val="19"/>
              </w:rPr>
              <w:t xml:space="preserve">Bloquant (assert) — arrêt immédiat du pipeline</w:t>
            </w:r>
          </w:p>
        </w:tc>
      </w:tr>
      <w:tr>
        <w:trPr>
          <w:tblHeader w:val="false"/>
        </w:trPr>
        <w:tc>
          <w:tcPr>
            <w:tcW w:type="dxa" w:w="1800"/>
            <w:tcMar>
              <w:top w:type="dxa" w:w="80"/>
              <w:left w:type="dxa" w:w="110"/>
              <w:bottom w:type="dxa" w:w="80"/>
              <w:right w:type="dxa" w:w="110"/>
            </w:tcMar>
          </w:tcPr>
          <w:p>
            <w:pPr>
              <w:spacing w:after="0" w:line="240"/>
            </w:pPr>
            <w:r>
              <w:rPr>
                <w:b w:val="false"/>
                <w:bCs w:val="false"/>
                <w:sz w:val="19"/>
                <w:szCs w:val="19"/>
              </w:rPr>
              <w:t xml:space="preserve">Valeurs nulles</w:t>
            </w:r>
          </w:p>
        </w:tc>
        <w:tc>
          <w:tcPr>
            <w:tcW w:type="dxa" w:w="4600"/>
            <w:tcMar>
              <w:top w:type="dxa" w:w="80"/>
              <w:left w:type="dxa" w:w="110"/>
              <w:bottom w:type="dxa" w:w="80"/>
              <w:right w:type="dxa" w:w="110"/>
            </w:tcMar>
          </w:tcPr>
          <w:p>
            <w:pPr>
              <w:spacing w:after="0" w:line="240"/>
            </w:pPr>
            <w:r>
              <w:rPr>
                <w:b w:val="false"/>
                <w:bCs w:val="false"/>
                <w:sz w:val="19"/>
                <w:szCs w:val="19"/>
              </w:rPr>
              <w:t xml:space="preserve">Mesurer le taux de nullité sur les colonnes critiques : Order_Id, Customer_Id, Order_Item_Id, Sales, order_date_DateOrders</w:t>
            </w:r>
          </w:p>
        </w:tc>
        <w:tc>
          <w:tcPr>
            <w:tcW w:type="dxa" w:w="2626"/>
            <w:tcMar>
              <w:top w:type="dxa" w:w="80"/>
              <w:left w:type="dxa" w:w="110"/>
              <w:bottom w:type="dxa" w:w="80"/>
              <w:right w:type="dxa" w:w="110"/>
            </w:tcMar>
          </w:tcPr>
          <w:p>
            <w:pPr>
              <w:spacing w:after="0" w:line="240"/>
            </w:pPr>
            <w:r>
              <w:rPr>
                <w:b w:val="false"/>
                <w:bCs w:val="false"/>
                <w:sz w:val="19"/>
                <w:szCs w:val="19"/>
              </w:rPr>
              <w:t xml:space="preserve">Avertissement — journalisé pour analyse</w:t>
            </w:r>
          </w:p>
        </w:tc>
      </w:tr>
      <w:tr>
        <w:trPr>
          <w:tblHeader w:val="false"/>
        </w:trPr>
        <w:tc>
          <w:tcPr>
            <w:tcW w:type="dxa" w:w="1800"/>
            <w:tcMar>
              <w:top w:type="dxa" w:w="80"/>
              <w:left w:type="dxa" w:w="110"/>
              <w:bottom w:type="dxa" w:w="80"/>
              <w:right w:type="dxa" w:w="110"/>
            </w:tcMar>
          </w:tcPr>
          <w:p>
            <w:pPr>
              <w:spacing w:after="0" w:line="240"/>
            </w:pPr>
            <w:r>
              <w:rPr>
                <w:b w:val="false"/>
                <w:bCs w:val="false"/>
                <w:sz w:val="19"/>
                <w:szCs w:val="19"/>
              </w:rPr>
              <w:t xml:space="preserve">Unicité</w:t>
            </w:r>
          </w:p>
        </w:tc>
        <w:tc>
          <w:tcPr>
            <w:tcW w:type="dxa" w:w="4600"/>
            <w:tcMar>
              <w:top w:type="dxa" w:w="80"/>
              <w:left w:type="dxa" w:w="110"/>
              <w:bottom w:type="dxa" w:w="80"/>
              <w:right w:type="dxa" w:w="110"/>
            </w:tcMar>
          </w:tcPr>
          <w:p>
            <w:pPr>
              <w:spacing w:after="0" w:line="240"/>
            </w:pPr>
            <w:r>
              <w:rPr>
                <w:b w:val="false"/>
                <w:bCs w:val="false"/>
                <w:sz w:val="19"/>
                <w:szCs w:val="19"/>
              </w:rPr>
              <w:t xml:space="preserve">Vérifier que Order_Item_Id constitue bien une clé primaire (valeurs distinctes = nombre de lignes)</w:t>
            </w:r>
          </w:p>
        </w:tc>
        <w:tc>
          <w:tcPr>
            <w:tcW w:type="dxa" w:w="2626"/>
            <w:tcMar>
              <w:top w:type="dxa" w:w="80"/>
              <w:left w:type="dxa" w:w="110"/>
              <w:bottom w:type="dxa" w:w="80"/>
              <w:right w:type="dxa" w:w="110"/>
            </w:tcMar>
          </w:tcPr>
          <w:p>
            <w:pPr>
              <w:spacing w:after="0" w:line="240"/>
            </w:pPr>
            <w:r>
              <w:rPr>
                <w:b w:val="false"/>
                <w:bCs w:val="false"/>
                <w:sz w:val="19"/>
                <w:szCs w:val="19"/>
              </w:rPr>
              <w:t xml:space="preserve">Avertissement</w:t>
            </w:r>
          </w:p>
        </w:tc>
      </w:tr>
      <w:tr>
        <w:trPr>
          <w:tblHeader w:val="false"/>
        </w:trPr>
        <w:tc>
          <w:tcPr>
            <w:tcW w:type="dxa" w:w="1800"/>
            <w:tcMar>
              <w:top w:type="dxa" w:w="80"/>
              <w:left w:type="dxa" w:w="110"/>
              <w:bottom w:type="dxa" w:w="80"/>
              <w:right w:type="dxa" w:w="110"/>
            </w:tcMar>
          </w:tcPr>
          <w:p>
            <w:pPr>
              <w:spacing w:after="0" w:line="240"/>
            </w:pPr>
            <w:r>
              <w:rPr>
                <w:b w:val="false"/>
                <w:bCs w:val="false"/>
                <w:sz w:val="19"/>
                <w:szCs w:val="19"/>
              </w:rPr>
              <w:t xml:space="preserve">Règle métier</w:t>
            </w:r>
          </w:p>
        </w:tc>
        <w:tc>
          <w:tcPr>
            <w:tcW w:type="dxa" w:w="4600"/>
            <w:tcMar>
              <w:top w:type="dxa" w:w="80"/>
              <w:left w:type="dxa" w:w="110"/>
              <w:bottom w:type="dxa" w:w="80"/>
              <w:right w:type="dxa" w:w="110"/>
            </w:tcMar>
          </w:tcPr>
          <w:p>
            <w:pPr>
              <w:spacing w:after="0" w:line="240"/>
            </w:pPr>
            <w:r>
              <w:rPr>
                <w:b w:val="false"/>
                <w:bCs w:val="false"/>
                <w:sz w:val="19"/>
                <w:szCs w:val="19"/>
              </w:rPr>
              <w:t xml:space="preserve">Détecter les montants de ventes négatifs, incohérents sur ce jeu de données</w:t>
            </w:r>
          </w:p>
        </w:tc>
        <w:tc>
          <w:tcPr>
            <w:tcW w:type="dxa" w:w="2626"/>
            <w:tcMar>
              <w:top w:type="dxa" w:w="80"/>
              <w:left w:type="dxa" w:w="110"/>
              <w:bottom w:type="dxa" w:w="80"/>
              <w:right w:type="dxa" w:w="110"/>
            </w:tcMar>
          </w:tcPr>
          <w:p>
            <w:pPr>
              <w:spacing w:after="0" w:line="240"/>
            </w:pPr>
            <w:r>
              <w:rPr>
                <w:b w:val="false"/>
                <w:bCs w:val="false"/>
                <w:sz w:val="19"/>
                <w:szCs w:val="19"/>
              </w:rPr>
              <w:t xml:space="preserve">Avertissement</w:t>
            </w:r>
          </w:p>
        </w:tc>
      </w:tr>
    </w:tbl>
    <w:p>
      <w:pPr>
        <w:spacing w:after="120" w:line="276"/>
      </w:pPr>
      <w:r>
        <w:rPr>
          <w:sz w:val="22"/>
          <w:szCs w:val="22"/>
        </w:rPr>
        <w:t xml:space="preserve"/>
      </w:r>
    </w:p>
    <w:p>
      <w:pPr>
        <w:spacing w:after="120" w:line="276"/>
      </w:pPr>
      <w:r>
        <w:rPr>
          <w:sz w:val="22"/>
          <w:szCs w:val="22"/>
        </w:rPr>
        <w:t xml:space="preserve">La distinction entre contrôle bloquant et simple avertissement constitue un choix de conception assumé. Une table vide traduit une défaillance fondamentale : rien en aval ne doit s’exécuter. À l’inverse, quelques valeurs nulles ou atypiques peuvent correspondre à des cas métier légitimes ; interrompre toute la chaîne pour ce motif produirait des faux positifs et une perte de confiance dans le dispositif.</w:t>
      </w:r>
    </w:p>
    <w:p>
      <w:pPr>
        <w:spacing w:after="60" w:before="160"/>
        <w:jc w:val="center"/>
      </w:pPr>
      <w: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581275"/>
                    </a:xfrm>
                    <a:prstGeom prst="rect">
                      <a:avLst/>
                    </a:prstGeom>
                  </pic:spPr>
                </pic:pic>
              </a:graphicData>
            </a:graphic>
          </wp:inline>
        </w:drawing>
      </w:r>
    </w:p>
    <w:p>
      <w:pPr>
        <w:spacing w:after="240"/>
        <w:jc w:val="center"/>
      </w:pPr>
      <w:r>
        <w:rPr>
          <w:i/>
          <w:iCs/>
          <w:color w:val="595959"/>
          <w:sz w:val="18"/>
          <w:szCs w:val="18"/>
        </w:rPr>
        <w:t xml:space="preserve">Figure 16 — Résultat des contrôles de qualité : l’ensemble des tests est validé</w:t>
      </w:r>
    </w:p>
    <w:p>
      <w:pPr>
        <w:spacing w:after="120" w:line="276"/>
      </w:pPr>
      <w:r>
        <w:rPr>
          <w:sz w:val="22"/>
          <w:szCs w:val="22"/>
        </w:rPr>
        <w:t xml:space="preserve">Les résultats sont sans réserve : 180 519 lignes, aucune valeur nulle sur les cinq colonnes critiques, unicité parfaite de Order_Item_Id (180 519 valeurs distinctes pour 180 519 lignes) et aucun montant de ventes négatif.</w:t>
      </w:r>
    </w:p>
    <w:p>
      <w:pPr>
        <w:pStyle w:val="Heading2"/>
        <w:spacing w:after="140" w:before="280"/>
      </w:pPr>
      <w:r>
        <w:rPr>
          <w:b/>
          <w:bCs/>
          <w:color w:val="2E5496"/>
          <w:sz w:val="26"/>
          <w:szCs w:val="26"/>
        </w:rPr>
        <w:t xml:space="preserve">9.4 Matérialisation de la couche silver</w:t>
      </w:r>
    </w:p>
    <w:p>
      <w:pPr>
        <w:spacing w:after="120" w:line="276"/>
      </w:pPr>
      <w:r>
        <w:rPr>
          <w:sz w:val="22"/>
          <w:szCs w:val="22"/>
        </w:rPr>
        <w:t xml:space="preserve">La table silver a été écrite sous deux formes complémentaires : un fichier Parquet dans Files/silver/ et surtout une table Delta gérée, silver_orders, dans la section Tables du Lakehouse.</w:t>
      </w:r>
    </w:p>
    <w:p>
      <w:pPr>
        <w:keepNext w:val="false"/>
        <w:shd w:fill="F2F2F2" w:val="clear"/>
        <w:spacing w:after="160" w:line="240"/>
        <w:ind w:left="340"/>
      </w:pPr>
      <w:r>
        <w:rPr>
          <w:rFonts w:ascii="Consolas" w:cs="Consolas" w:eastAsia="Consolas" w:hAnsi="Consolas"/>
          <w:sz w:val="17"/>
          <w:szCs w:val="17"/>
        </w:rPr>
        <w:t xml:space="preserve">df_silver.write.mode("overwrite").format("delta").saveAsTable("silver_orders")</w:t>
      </w:r>
    </w:p>
    <w:p>
      <w:pPr>
        <w:spacing w:after="60" w:before="160"/>
        <w:jc w:val="center"/>
      </w:pPr>
      <w:r>
        <w:drawing>
          <wp:inline distT="0" distB="0" distL="0" distR="0">
            <wp:extent cx="238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81250" cy="3810000"/>
                    </a:xfrm>
                    <a:prstGeom prst="rect">
                      <a:avLst/>
                    </a:prstGeom>
                  </pic:spPr>
                </pic:pic>
              </a:graphicData>
            </a:graphic>
          </wp:inline>
        </w:drawing>
      </w:r>
    </w:p>
    <w:p>
      <w:pPr>
        <w:spacing w:after="240"/>
        <w:jc w:val="center"/>
      </w:pPr>
      <w:r>
        <w:rPr>
          <w:i/>
          <w:iCs/>
          <w:color w:val="595959"/>
          <w:sz w:val="18"/>
          <w:szCs w:val="18"/>
        </w:rPr>
        <w:t xml:space="preserve">Figure 17 — Table Delta silver_orders et ses colonnes typées dans l’explorateur du Lakehouse</w:t>
      </w:r>
    </w:p>
    <w:p>
      <w:pPr>
        <w:spacing w:after="120" w:line="276"/>
      </w:pPr>
      <w:r>
        <w:rPr>
          <w:sz w:val="22"/>
          <w:szCs w:val="22"/>
        </w:rPr>
        <w:t xml:space="preserve">Le format Delta apporte des garanties déterminantes par rapport à un simple fichier Parquet : transactions ACID, versionnement permettant de revenir à un état antérieur, interrogation directe en SQL et persistance indépendante de la session Spark. C’est ce qui transforme un résultat de calcul en actif de données durable.</w:t>
      </w:r>
    </w:p>
    <w:p>
      <w:pPr>
        <w:pStyle w:val="Heading2"/>
        <w:spacing w:after="140" w:before="280"/>
      </w:pPr>
      <w:r>
        <w:rPr>
          <w:b/>
          <w:bCs/>
          <w:color w:val="2E5496"/>
          <w:sz w:val="26"/>
          <w:szCs w:val="26"/>
        </w:rPr>
        <w:t xml:space="preserve">9.5 Notebook 02_silver_to_gold — modélisation dimensionnelle</w:t>
      </w:r>
    </w:p>
    <w:p>
      <w:pPr>
        <w:spacing w:after="120" w:line="276"/>
      </w:pPr>
      <w:r>
        <w:rPr>
          <w:sz w:val="22"/>
          <w:szCs w:val="22"/>
        </w:rPr>
        <w:t xml:space="preserve">Le second notebook construit le modèle en étoile à partir de la table silver.</w:t>
      </w:r>
    </w:p>
    <w:p>
      <w:pPr>
        <w:pStyle w:val="Heading3"/>
        <w:spacing w:after="120" w:before="220"/>
      </w:pPr>
      <w:r>
        <w:rPr>
          <w:b/>
          <w:bCs/>
          <w:color w:val="44546A"/>
          <w:sz w:val="23"/>
          <w:szCs w:val="23"/>
        </w:rPr>
        <w:t xml:space="preserve">9.5.1 Dimension dim_supplier</w:t>
      </w:r>
    </w:p>
    <w:p>
      <w:pPr>
        <w:spacing w:after="120" w:line="276"/>
      </w:pPr>
      <w:r>
        <w:rPr>
          <w:sz w:val="22"/>
          <w:szCs w:val="22"/>
        </w:rPr>
        <w:t xml:space="preserve">Le jeu de données ne comporte pas d’entité « fournisseur » à proprement parler. Après analyse, le couple Department_Id / Department_Name a été retenu comme approximation la plus proche, car il regroupe les produits par ligne d’activité. Cette adaptation du schéma théorique aux données réellement disponibles est une situation courante en entreprise ; l’essentiel est de la documenter explicitement, ce qui est fait ici.</w:t>
      </w:r>
    </w:p>
    <w:p>
      <w:pPr>
        <w:keepNext/>
        <w:shd w:fill="F2F2F2" w:val="clear"/>
        <w:spacing w:after="0" w:line="240"/>
        <w:ind w:left="340"/>
      </w:pPr>
      <w:r>
        <w:rPr>
          <w:rFonts w:ascii="Consolas" w:cs="Consolas" w:eastAsia="Consolas" w:hAnsi="Consolas"/>
          <w:sz w:val="17"/>
          <w:szCs w:val="17"/>
        </w:rPr>
        <w:t xml:space="preserve">dim_supplier = df_silver.select("Department_Id", "Department_Name") \</w:t>
      </w:r>
    </w:p>
    <w:p>
      <w:pPr>
        <w:keepNext/>
        <w:shd w:fill="F2F2F2" w:val="clear"/>
        <w:spacing w:after="0" w:line="240"/>
        <w:ind w:left="340"/>
      </w:pPr>
      <w:r>
        <w:rPr>
          <w:rFonts w:ascii="Consolas" w:cs="Consolas" w:eastAsia="Consolas" w:hAnsi="Consolas"/>
          <w:sz w:val="17"/>
          <w:szCs w:val="17"/>
        </w:rPr>
        <w:t xml:space="preserve">    .dropDuplicates(["Department_Id"]) \</w:t>
      </w:r>
    </w:p>
    <w:p>
      <w:pPr>
        <w:keepNext w:val="false"/>
        <w:shd w:fill="F2F2F2" w:val="clear"/>
        <w:spacing w:after="160" w:line="240"/>
        <w:ind w:left="340"/>
      </w:pPr>
      <w:r>
        <w:rPr>
          <w:rFonts w:ascii="Consolas" w:cs="Consolas" w:eastAsia="Consolas" w:hAnsi="Consolas"/>
          <w:sz w:val="17"/>
          <w:szCs w:val="17"/>
        </w:rPr>
        <w:t xml:space="preserve">    .orderBy("Department_Id")</w:t>
      </w:r>
    </w:p>
    <w:p>
      <w:pPr>
        <w:spacing w:after="120" w:line="276"/>
      </w:pPr>
      <w:r>
        <w:rPr>
          <w:sz w:val="22"/>
          <w:szCs w:val="22"/>
        </w:rPr>
        <w:t xml:space="preserve">La dimension obtenue compte 11 lignes : Fitness, Footwear, Apparel, Golf, Outdoors, Fan Shop, Book Shop, Discs Shop, Technology, Pet Shop et Health and Beauty.</w:t>
      </w:r>
    </w:p>
    <w:p>
      <w:pPr>
        <w:pStyle w:val="Heading3"/>
        <w:spacing w:after="120" w:before="220"/>
      </w:pPr>
      <w:r>
        <w:rPr>
          <w:b/>
          <w:bCs/>
          <w:color w:val="44546A"/>
          <w:sz w:val="23"/>
          <w:szCs w:val="23"/>
        </w:rPr>
        <w:t xml:space="preserve">9.5.2 Dimension dim_date</w:t>
      </w:r>
    </w:p>
    <w:p>
      <w:pPr>
        <w:spacing w:after="120" w:line="276"/>
      </w:pPr>
      <w:r>
        <w:rPr>
          <w:sz w:val="22"/>
          <w:szCs w:val="22"/>
        </w:rPr>
        <w:t xml:space="preserve">Une dimension calendaire a été générée par construction d’une séquence continue de dates entre la date minimale et la date maximale observées dans les commandes, enrichie d’attributs temporels : année, mois, nom du mois, trimestre, semaine de l’année, jour de la semaine et nom du jour.</w:t>
      </w:r>
    </w:p>
    <w:p>
      <w:pPr>
        <w:spacing w:after="120" w:line="276"/>
      </w:pPr>
      <w:r>
        <w:rPr>
          <w:sz w:val="22"/>
          <w:szCs w:val="22"/>
        </w:rPr>
        <w:t xml:space="preserve">Un point de conception mérite d’être souligné : la dimension contient une ligne pour chaque jour calendaire de la période, y compris les jours sans aucune commande. Une table de dates lacunaire produirait des courbes temporelles trompeuses, avec des périodes simplement absentes de l’axe plutôt que représentées à zéro. La dimension compte 1 127 lignes, soit environ trois années complètes.</w:t>
      </w:r>
    </w:p>
    <w:p>
      <w:pPr>
        <w:pStyle w:val="Heading3"/>
        <w:spacing w:after="120" w:before="220"/>
      </w:pPr>
      <w:r>
        <w:rPr>
          <w:b/>
          <w:bCs/>
          <w:color w:val="44546A"/>
          <w:sz w:val="23"/>
          <w:szCs w:val="23"/>
        </w:rPr>
        <w:t xml:space="preserve">9.5.3 Table de faits fact_shipment</w:t>
      </w:r>
    </w:p>
    <w:p>
      <w:pPr>
        <w:spacing w:after="120" w:line="276"/>
      </w:pPr>
      <w:r>
        <w:rPr>
          <w:sz w:val="22"/>
          <w:szCs w:val="22"/>
        </w:rPr>
        <w:t xml:space="preserve">La table de faits conserve la granularité de la ligne de commande et regroupe les clés étrangères vers les dimensions ainsi que les mesures analysables. Trois indicateurs y ont été calculés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shd w:fill="D9E2F3" w:val="clear"/>
            <w:tcMar>
              <w:top w:type="dxa" w:w="80"/>
              <w:left w:type="dxa" w:w="110"/>
              <w:bottom w:type="dxa" w:w="80"/>
              <w:right w:type="dxa" w:w="110"/>
            </w:tcMar>
          </w:tcPr>
          <w:p>
            <w:pPr>
              <w:spacing w:after="0" w:line="240"/>
            </w:pPr>
            <w:r>
              <w:rPr>
                <w:b/>
                <w:bCs/>
                <w:sz w:val="19"/>
                <w:szCs w:val="19"/>
              </w:rPr>
              <w:t xml:space="preserve">Indicateur</w:t>
            </w:r>
          </w:p>
        </w:tc>
        <w:tc>
          <w:tcPr>
            <w:tcW w:type="dxa" w:w="3400"/>
            <w:shd w:fill="D9E2F3" w:val="clear"/>
            <w:tcMar>
              <w:top w:type="dxa" w:w="80"/>
              <w:left w:type="dxa" w:w="110"/>
              <w:bottom w:type="dxa" w:w="80"/>
              <w:right w:type="dxa" w:w="110"/>
            </w:tcMar>
          </w:tcPr>
          <w:p>
            <w:pPr>
              <w:spacing w:after="0" w:line="240"/>
            </w:pPr>
            <w:r>
              <w:rPr>
                <w:b/>
                <w:bCs/>
                <w:sz w:val="19"/>
                <w:szCs w:val="19"/>
              </w:rPr>
              <w:t xml:space="preserve">Formule</w:t>
            </w:r>
          </w:p>
        </w:tc>
        <w:tc>
          <w:tcPr>
            <w:tcW w:type="dxa" w:w="3726"/>
            <w:shd w:fill="D9E2F3" w:val="clear"/>
            <w:tcMar>
              <w:top w:type="dxa" w:w="80"/>
              <w:left w:type="dxa" w:w="110"/>
              <w:bottom w:type="dxa" w:w="80"/>
              <w:right w:type="dxa" w:w="110"/>
            </w:tcMar>
          </w:tcPr>
          <w:p>
            <w:pPr>
              <w:spacing w:after="0" w:line="240"/>
            </w:pPr>
            <w:r>
              <w:rPr>
                <w:b/>
                <w:bCs/>
                <w:sz w:val="19"/>
                <w:szCs w:val="19"/>
              </w:rPr>
              <w:t xml:space="preserve">Interprétation</w:t>
            </w:r>
          </w:p>
        </w:tc>
      </w:tr>
      <w:tr>
        <w:trPr>
          <w:tblHeader w:val="false"/>
        </w:trPr>
        <w:tc>
          <w:tcPr>
            <w:tcW w:type="dxa" w:w="1900"/>
            <w:tcMar>
              <w:top w:type="dxa" w:w="80"/>
              <w:left w:type="dxa" w:w="110"/>
              <w:bottom w:type="dxa" w:w="80"/>
              <w:right w:type="dxa" w:w="110"/>
            </w:tcMar>
          </w:tcPr>
          <w:p>
            <w:pPr>
              <w:spacing w:after="0" w:line="240"/>
            </w:pPr>
            <w:r>
              <w:rPr>
                <w:b w:val="false"/>
                <w:bCs w:val="false"/>
                <w:sz w:val="19"/>
                <w:szCs w:val="19"/>
              </w:rPr>
              <w:t xml:space="preserve">lead_time_days</w:t>
            </w:r>
          </w:p>
        </w:tc>
        <w:tc>
          <w:tcPr>
            <w:tcW w:type="dxa" w:w="3400"/>
            <w:tcMar>
              <w:top w:type="dxa" w:w="80"/>
              <w:left w:type="dxa" w:w="110"/>
              <w:bottom w:type="dxa" w:w="80"/>
              <w:right w:type="dxa" w:w="110"/>
            </w:tcMar>
          </w:tcPr>
          <w:p>
            <w:pPr>
              <w:spacing w:after="0" w:line="240"/>
            </w:pPr>
            <w:r>
              <w:rPr>
                <w:b w:val="false"/>
                <w:bCs w:val="false"/>
                <w:sz w:val="19"/>
                <w:szCs w:val="19"/>
              </w:rPr>
              <w:t xml:space="preserve">Days_for_shipping_real</w:t>
            </w:r>
          </w:p>
        </w:tc>
        <w:tc>
          <w:tcPr>
            <w:tcW w:type="dxa" w:w="3726"/>
            <w:tcMar>
              <w:top w:type="dxa" w:w="80"/>
              <w:left w:type="dxa" w:w="110"/>
              <w:bottom w:type="dxa" w:w="80"/>
              <w:right w:type="dxa" w:w="110"/>
            </w:tcMar>
          </w:tcPr>
          <w:p>
            <w:pPr>
              <w:spacing w:after="0" w:line="240"/>
            </w:pPr>
            <w:r>
              <w:rPr>
                <w:b w:val="false"/>
                <w:bCs w:val="false"/>
                <w:sz w:val="19"/>
                <w:szCs w:val="19"/>
              </w:rPr>
              <w:t xml:space="preserve">Délai réel d’expédition en jours</w:t>
            </w:r>
          </w:p>
        </w:tc>
      </w:tr>
      <w:tr>
        <w:trPr>
          <w:tblHeader w:val="false"/>
        </w:trPr>
        <w:tc>
          <w:tcPr>
            <w:tcW w:type="dxa" w:w="1900"/>
            <w:tcMar>
              <w:top w:type="dxa" w:w="80"/>
              <w:left w:type="dxa" w:w="110"/>
              <w:bottom w:type="dxa" w:w="80"/>
              <w:right w:type="dxa" w:w="110"/>
            </w:tcMar>
          </w:tcPr>
          <w:p>
            <w:pPr>
              <w:spacing w:after="0" w:line="240"/>
            </w:pPr>
            <w:r>
              <w:rPr>
                <w:b w:val="false"/>
                <w:bCs w:val="false"/>
                <w:sz w:val="19"/>
                <w:szCs w:val="19"/>
              </w:rPr>
              <w:t xml:space="preserve">delay_days</w:t>
            </w:r>
          </w:p>
        </w:tc>
        <w:tc>
          <w:tcPr>
            <w:tcW w:type="dxa" w:w="3400"/>
            <w:tcMar>
              <w:top w:type="dxa" w:w="80"/>
              <w:left w:type="dxa" w:w="110"/>
              <w:bottom w:type="dxa" w:w="80"/>
              <w:right w:type="dxa" w:w="110"/>
            </w:tcMar>
          </w:tcPr>
          <w:p>
            <w:pPr>
              <w:spacing w:after="0" w:line="240"/>
            </w:pPr>
            <w:r>
              <w:rPr>
                <w:b w:val="false"/>
                <w:bCs w:val="false"/>
                <w:sz w:val="19"/>
                <w:szCs w:val="19"/>
              </w:rPr>
              <w:t xml:space="preserve">Days_for_shipping_real − Days_for_shipment_scheduled</w:t>
            </w:r>
          </w:p>
        </w:tc>
        <w:tc>
          <w:tcPr>
            <w:tcW w:type="dxa" w:w="3726"/>
            <w:tcMar>
              <w:top w:type="dxa" w:w="80"/>
              <w:left w:type="dxa" w:w="110"/>
              <w:bottom w:type="dxa" w:w="80"/>
              <w:right w:type="dxa" w:w="110"/>
            </w:tcMar>
          </w:tcPr>
          <w:p>
            <w:pPr>
              <w:spacing w:after="0" w:line="240"/>
            </w:pPr>
            <w:r>
              <w:rPr>
                <w:b w:val="false"/>
                <w:bCs w:val="false"/>
                <w:sz w:val="19"/>
                <w:szCs w:val="19"/>
              </w:rPr>
              <w:t xml:space="preserve">Écart au planifié : positif = retard, négatif = avance, zéro = conforme</w:t>
            </w:r>
          </w:p>
        </w:tc>
      </w:tr>
      <w:tr>
        <w:trPr>
          <w:tblHeader w:val="false"/>
        </w:trPr>
        <w:tc>
          <w:tcPr>
            <w:tcW w:type="dxa" w:w="1900"/>
            <w:tcMar>
              <w:top w:type="dxa" w:w="80"/>
              <w:left w:type="dxa" w:w="110"/>
              <w:bottom w:type="dxa" w:w="80"/>
              <w:right w:type="dxa" w:w="110"/>
            </w:tcMar>
          </w:tcPr>
          <w:p>
            <w:pPr>
              <w:spacing w:after="0" w:line="240"/>
            </w:pPr>
            <w:r>
              <w:rPr>
                <w:b w:val="false"/>
                <w:bCs w:val="false"/>
                <w:sz w:val="19"/>
                <w:szCs w:val="19"/>
              </w:rPr>
              <w:t xml:space="preserve">is_late</w:t>
            </w:r>
          </w:p>
        </w:tc>
        <w:tc>
          <w:tcPr>
            <w:tcW w:type="dxa" w:w="3400"/>
            <w:tcMar>
              <w:top w:type="dxa" w:w="80"/>
              <w:left w:type="dxa" w:w="110"/>
              <w:bottom w:type="dxa" w:w="80"/>
              <w:right w:type="dxa" w:w="110"/>
            </w:tcMar>
          </w:tcPr>
          <w:p>
            <w:pPr>
              <w:spacing w:after="0" w:line="240"/>
            </w:pPr>
            <w:r>
              <w:rPr>
                <w:b w:val="false"/>
                <w:bCs w:val="false"/>
                <w:sz w:val="19"/>
                <w:szCs w:val="19"/>
              </w:rPr>
              <w:t xml:space="preserve">Days_for_shipping_real &gt; Days_for_shipment_scheduled</w:t>
            </w:r>
          </w:p>
        </w:tc>
        <w:tc>
          <w:tcPr>
            <w:tcW w:type="dxa" w:w="3726"/>
            <w:tcMar>
              <w:top w:type="dxa" w:w="80"/>
              <w:left w:type="dxa" w:w="110"/>
              <w:bottom w:type="dxa" w:w="80"/>
              <w:right w:type="dxa" w:w="110"/>
            </w:tcMar>
          </w:tcPr>
          <w:p>
            <w:pPr>
              <w:spacing w:after="0" w:line="240"/>
            </w:pPr>
            <w:r>
              <w:rPr>
                <w:b w:val="false"/>
                <w:bCs w:val="false"/>
                <w:sz w:val="19"/>
                <w:szCs w:val="19"/>
              </w:rPr>
              <w:t xml:space="preserve">Indicateur booléen de retard, base du calcul du taux de service</w:t>
            </w:r>
          </w:p>
        </w:tc>
      </w:tr>
    </w:tbl>
    <w:p>
      <w:pPr>
        <w:spacing w:after="120" w:line="276"/>
      </w:pPr>
      <w:r>
        <w:rPr>
          <w:sz w:val="22"/>
          <w:szCs w:val="22"/>
        </w:rPr>
        <w:t xml:space="preserve"/>
      </w:r>
    </w:p>
    <w:p>
      <w:pPr>
        <w:keepNext/>
        <w:shd w:fill="F2F2F2" w:val="clear"/>
        <w:spacing w:after="0" w:line="240"/>
        <w:ind w:left="340"/>
      </w:pPr>
      <w:r>
        <w:rPr>
          <w:rFonts w:ascii="Consolas" w:cs="Consolas" w:eastAsia="Consolas" w:hAnsi="Consolas"/>
          <w:sz w:val="17"/>
          <w:szCs w:val="17"/>
        </w:rPr>
        <w:t xml:space="preserve">fact_shipment = fact_shipment \</w:t>
      </w:r>
    </w:p>
    <w:p>
      <w:pPr>
        <w:keepNext/>
        <w:shd w:fill="F2F2F2" w:val="clear"/>
        <w:spacing w:after="0" w:line="240"/>
        <w:ind w:left="340"/>
      </w:pPr>
      <w:r>
        <w:rPr>
          <w:rFonts w:ascii="Consolas" w:cs="Consolas" w:eastAsia="Consolas" w:hAnsi="Consolas"/>
          <w:sz w:val="17"/>
          <w:szCs w:val="17"/>
        </w:rPr>
        <w:t xml:space="preserve">    .withColumn("lead_time_days", col("Days_for_shipping_real")) \</w:t>
      </w:r>
    </w:p>
    <w:p>
      <w:pPr>
        <w:keepNext/>
        <w:shd w:fill="F2F2F2" w:val="clear"/>
        <w:spacing w:after="0" w:line="240"/>
        <w:ind w:left="340"/>
      </w:pPr>
      <w:r>
        <w:rPr>
          <w:rFonts w:ascii="Consolas" w:cs="Consolas" w:eastAsia="Consolas" w:hAnsi="Consolas"/>
          <w:sz w:val="17"/>
          <w:szCs w:val="17"/>
        </w:rPr>
        <w:t xml:space="preserve">    .withColumn("delay_days",</w:t>
      </w:r>
    </w:p>
    <w:p>
      <w:pPr>
        <w:keepNext/>
        <w:shd w:fill="F2F2F2" w:val="clear"/>
        <w:spacing w:after="0" w:line="240"/>
        <w:ind w:left="340"/>
      </w:pPr>
      <w:r>
        <w:rPr>
          <w:rFonts w:ascii="Consolas" w:cs="Consolas" w:eastAsia="Consolas" w:hAnsi="Consolas"/>
          <w:sz w:val="17"/>
          <w:szCs w:val="17"/>
        </w:rPr>
        <w:t xml:space="preserve">        col("Days_for_shipping_real") - col("Days_for_shipment_scheduled")) \</w:t>
      </w:r>
    </w:p>
    <w:p>
      <w:pPr>
        <w:keepNext/>
        <w:shd w:fill="F2F2F2" w:val="clear"/>
        <w:spacing w:after="0" w:line="240"/>
        <w:ind w:left="340"/>
      </w:pPr>
      <w:r>
        <w:rPr>
          <w:rFonts w:ascii="Consolas" w:cs="Consolas" w:eastAsia="Consolas" w:hAnsi="Consolas"/>
          <w:sz w:val="17"/>
          <w:szCs w:val="17"/>
        </w:rPr>
        <w:t xml:space="preserve">    .withColumn("is_late",</w:t>
      </w:r>
    </w:p>
    <w:p>
      <w:pPr>
        <w:keepNext w:val="false"/>
        <w:shd w:fill="F2F2F2" w:val="clear"/>
        <w:spacing w:after="160" w:line="240"/>
        <w:ind w:left="340"/>
      </w:pPr>
      <w:r>
        <w:rPr>
          <w:rFonts w:ascii="Consolas" w:cs="Consolas" w:eastAsia="Consolas" w:hAnsi="Consolas"/>
          <w:sz w:val="17"/>
          <w:szCs w:val="17"/>
        </w:rPr>
        <w:t xml:space="preserve">        col("Days_for_shipping_real") &gt; col("Days_for_shipment_scheduled"))</w:t>
      </w:r>
    </w:p>
    <w:p>
      <w:pPr>
        <w:spacing w:after="60" w:before="16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38450"/>
                    </a:xfrm>
                    <a:prstGeom prst="rect">
                      <a:avLst/>
                    </a:prstGeom>
                  </pic:spPr>
                </pic:pic>
              </a:graphicData>
            </a:graphic>
          </wp:inline>
        </w:drawing>
      </w:r>
    </w:p>
    <w:p>
      <w:pPr>
        <w:spacing w:after="240"/>
        <w:jc w:val="center"/>
      </w:pPr>
      <w:r>
        <w:rPr>
          <w:i/>
          <w:iCs/>
          <w:color w:val="595959"/>
          <w:sz w:val="18"/>
          <w:szCs w:val="18"/>
        </w:rPr>
        <w:t xml:space="preserve">Figure 18 — Construction de la table de faits fact_shipment dans le notebook 02_silver_to_gold</w:t>
      </w:r>
    </w:p>
    <w:p>
      <w:pPr>
        <w:spacing w:after="120" w:line="276"/>
      </w:pPr>
      <w:r>
        <w:rPr>
          <w:sz w:val="22"/>
          <w:szCs w:val="22"/>
        </w:rPr>
        <w:t xml:space="preserve">Un contrôle d’intégrité référentielle a été exécuté au moyen d’une jointure anti-gauche entre la table de faits et la dimension fournisseur : aucune ligne orpheline n’a été détectée, confirmant que toutes les clés étrangères trouvent bien leur correspondance.</w:t>
      </w:r>
    </w:p>
    <w:p>
      <w:pPr>
        <w:pStyle w:val="Heading2"/>
        <w:spacing w:after="140" w:before="280"/>
      </w:pPr>
      <w:r>
        <w:rPr>
          <w:b/>
          <w:bCs/>
          <w:color w:val="2E5496"/>
          <w:sz w:val="26"/>
          <w:szCs w:val="26"/>
        </w:rPr>
        <w:t xml:space="preserve">9.6 Entrepôt Fabric et vue analytique</w:t>
      </w:r>
    </w:p>
    <w:p>
      <w:pPr>
        <w:spacing w:after="120" w:line="276"/>
      </w:pPr>
      <w:r>
        <w:rPr>
          <w:sz w:val="22"/>
          <w:szCs w:val="22"/>
        </w:rPr>
        <w:t xml:space="preserve">Un entrepôt SupplyChain_Warehouse a été créé afin d’exposer les indicateurs sous forme de vue SQL, exploitable par des outils tiers et par des utilisateurs plus à l’aise avec le T-SQL qu’avec PySpark.</w:t>
      </w:r>
    </w:p>
    <w:p>
      <w:pPr>
        <w:spacing w:after="60" w:before="160"/>
        <w:jc w:val="center"/>
      </w:pPr>
      <w:r>
        <w:drawing>
          <wp:inline distT="0" distB="0" distL="0" distR="0">
            <wp:extent cx="50482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48250" cy="2486025"/>
                    </a:xfrm>
                    <a:prstGeom prst="rect">
                      <a:avLst/>
                    </a:prstGeom>
                  </pic:spPr>
                </pic:pic>
              </a:graphicData>
            </a:graphic>
          </wp:inline>
        </w:drawing>
      </w:r>
    </w:p>
    <w:p>
      <w:pPr>
        <w:spacing w:after="240"/>
        <w:jc w:val="center"/>
      </w:pPr>
      <w:r>
        <w:rPr>
          <w:i/>
          <w:iCs/>
          <w:color w:val="595959"/>
          <w:sz w:val="18"/>
          <w:szCs w:val="18"/>
        </w:rPr>
        <w:t xml:space="preserve">Figure 19 — Création de l’entrepôt SupplyChain_Warehouse dans l’espace de travail</w:t>
      </w:r>
    </w:p>
    <w:p>
      <w:pPr>
        <w:spacing w:after="120" w:line="276"/>
      </w:pPr>
      <w:r>
        <w:rPr>
          <w:sz w:val="22"/>
          <w:szCs w:val="22"/>
        </w:rPr>
        <w:t xml:space="preserve">Fabric permet d’interroger, depuis un entrepôt, les tables d’un Lakehouse du même espace de travail au moyen d’une nomenclature à trois parties — sans copie ni synchronisation, les deux artefacts partageant le même socle de stockage OneLake. La vue vw_shipment_kpis exploite cette capacité :</w:t>
      </w:r>
    </w:p>
    <w:p>
      <w:pPr>
        <w:keepNext/>
        <w:shd w:fill="F2F2F2" w:val="clear"/>
        <w:spacing w:after="0" w:line="240"/>
        <w:ind w:left="340"/>
      </w:pPr>
      <w:r>
        <w:rPr>
          <w:rFonts w:ascii="Consolas" w:cs="Consolas" w:eastAsia="Consolas" w:hAnsi="Consolas"/>
          <w:sz w:val="17"/>
          <w:szCs w:val="17"/>
        </w:rPr>
        <w:t xml:space="preserve">CREATE VIEW vw_shipment_kpis AS</w:t>
      </w:r>
    </w:p>
    <w:p>
      <w:pPr>
        <w:keepNext/>
        <w:shd w:fill="F2F2F2" w:val="clear"/>
        <w:spacing w:after="0" w:line="240"/>
        <w:ind w:left="340"/>
      </w:pPr>
      <w:r>
        <w:rPr>
          <w:rFonts w:ascii="Consolas" w:cs="Consolas" w:eastAsia="Consolas" w:hAnsi="Consolas"/>
          <w:sz w:val="17"/>
          <w:szCs w:val="17"/>
        </w:rPr>
        <w:t xml:space="preserve">SELECT</w:t>
      </w:r>
    </w:p>
    <w:p>
      <w:pPr>
        <w:keepNext/>
        <w:shd w:fill="F2F2F2" w:val="clear"/>
        <w:spacing w:after="0" w:line="240"/>
        <w:ind w:left="340"/>
      </w:pPr>
      <w:r>
        <w:rPr>
          <w:rFonts w:ascii="Consolas" w:cs="Consolas" w:eastAsia="Consolas" w:hAnsi="Consolas"/>
          <w:sz w:val="17"/>
          <w:szCs w:val="17"/>
        </w:rPr>
        <w:t xml:space="preserve">    f.Department_Id,</w:t>
      </w:r>
    </w:p>
    <w:p>
      <w:pPr>
        <w:keepNext/>
        <w:shd w:fill="F2F2F2" w:val="clear"/>
        <w:spacing w:after="0" w:line="240"/>
        <w:ind w:left="340"/>
      </w:pPr>
      <w:r>
        <w:rPr>
          <w:rFonts w:ascii="Consolas" w:cs="Consolas" w:eastAsia="Consolas" w:hAnsi="Consolas"/>
          <w:sz w:val="17"/>
          <w:szCs w:val="17"/>
        </w:rPr>
        <w:t xml:space="preserve">    sup.Department_Name,</w:t>
      </w:r>
    </w:p>
    <w:p>
      <w:pPr>
        <w:keepNext/>
        <w:shd w:fill="F2F2F2" w:val="clear"/>
        <w:spacing w:after="0" w:line="240"/>
        <w:ind w:left="340"/>
      </w:pPr>
      <w:r>
        <w:rPr>
          <w:rFonts w:ascii="Consolas" w:cs="Consolas" w:eastAsia="Consolas" w:hAnsi="Consolas"/>
          <w:sz w:val="17"/>
          <w:szCs w:val="17"/>
        </w:rPr>
        <w:t xml:space="preserve">    f.Order_Region,</w:t>
      </w:r>
    </w:p>
    <w:p>
      <w:pPr>
        <w:keepNext/>
        <w:shd w:fill="F2F2F2" w:val="clear"/>
        <w:spacing w:after="0" w:line="240"/>
        <w:ind w:left="340"/>
      </w:pPr>
      <w:r>
        <w:rPr>
          <w:rFonts w:ascii="Consolas" w:cs="Consolas" w:eastAsia="Consolas" w:hAnsi="Consolas"/>
          <w:sz w:val="17"/>
          <w:szCs w:val="17"/>
        </w:rPr>
        <w:t xml:space="preserve">    d.year, d.month, d.month_name,</w:t>
      </w:r>
    </w:p>
    <w:p>
      <w:pPr>
        <w:keepNext/>
        <w:shd w:fill="F2F2F2" w:val="clear"/>
        <w:spacing w:after="0" w:line="240"/>
        <w:ind w:left="340"/>
      </w:pPr>
      <w:r>
        <w:rPr>
          <w:rFonts w:ascii="Consolas" w:cs="Consolas" w:eastAsia="Consolas" w:hAnsi="Consolas"/>
          <w:sz w:val="17"/>
          <w:szCs w:val="17"/>
        </w:rPr>
        <w:t xml:space="preserve">    COUNT(*) AS total_shipments,</w:t>
      </w:r>
    </w:p>
    <w:p>
      <w:pPr>
        <w:keepNext/>
        <w:shd w:fill="F2F2F2" w:val="clear"/>
        <w:spacing w:after="0" w:line="240"/>
        <w:ind w:left="340"/>
      </w:pPr>
      <w:r>
        <w:rPr>
          <w:rFonts w:ascii="Consolas" w:cs="Consolas" w:eastAsia="Consolas" w:hAnsi="Consolas"/>
          <w:sz w:val="17"/>
          <w:szCs w:val="17"/>
        </w:rPr>
        <w:t xml:space="preserve">    SUM(CASE WHEN f.is_late = 0 THEN 1 ELSE 0 END) * 100.0</w:t>
      </w:r>
    </w:p>
    <w:p>
      <w:pPr>
        <w:keepNext/>
        <w:shd w:fill="F2F2F2" w:val="clear"/>
        <w:spacing w:after="0" w:line="240"/>
        <w:ind w:left="340"/>
      </w:pPr>
      <w:r>
        <w:rPr>
          <w:rFonts w:ascii="Consolas" w:cs="Consolas" w:eastAsia="Consolas" w:hAnsi="Consolas"/>
          <w:sz w:val="17"/>
          <w:szCs w:val="17"/>
        </w:rPr>
        <w:t xml:space="preserve">        / COUNT(*) AS on_time_delivery_pct,</w:t>
      </w:r>
    </w:p>
    <w:p>
      <w:pPr>
        <w:keepNext/>
        <w:shd w:fill="F2F2F2" w:val="clear"/>
        <w:spacing w:after="0" w:line="240"/>
        <w:ind w:left="340"/>
      </w:pPr>
      <w:r>
        <w:rPr>
          <w:rFonts w:ascii="Consolas" w:cs="Consolas" w:eastAsia="Consolas" w:hAnsi="Consolas"/>
          <w:sz w:val="17"/>
          <w:szCs w:val="17"/>
        </w:rPr>
        <w:t xml:space="preserve">    AVG(CAST(f.lead_time_days AS FLOAT)) AS avg_lead_time_days,</w:t>
      </w:r>
    </w:p>
    <w:p>
      <w:pPr>
        <w:keepNext/>
        <w:shd w:fill="F2F2F2" w:val="clear"/>
        <w:spacing w:after="0" w:line="240"/>
        <w:ind w:left="340"/>
      </w:pPr>
      <w:r>
        <w:rPr>
          <w:rFonts w:ascii="Consolas" w:cs="Consolas" w:eastAsia="Consolas" w:hAnsi="Consolas"/>
          <w:sz w:val="17"/>
          <w:szCs w:val="17"/>
        </w:rPr>
        <w:t xml:space="preserve">    AVG(CAST(f.delay_days AS FLOAT))     AS avg_delay_days,</w:t>
      </w:r>
    </w:p>
    <w:p>
      <w:pPr>
        <w:keepNext/>
        <w:shd w:fill="F2F2F2" w:val="clear"/>
        <w:spacing w:after="0" w:line="240"/>
        <w:ind w:left="340"/>
      </w:pPr>
      <w:r>
        <w:rPr>
          <w:rFonts w:ascii="Consolas" w:cs="Consolas" w:eastAsia="Consolas" w:hAnsi="Consolas"/>
          <w:sz w:val="17"/>
          <w:szCs w:val="17"/>
        </w:rPr>
        <w:t xml:space="preserve">    SUM(f.Sales)                  AS total_sales,</w:t>
      </w:r>
    </w:p>
    <w:p>
      <w:pPr>
        <w:keepNext/>
        <w:shd w:fill="F2F2F2" w:val="clear"/>
        <w:spacing w:after="0" w:line="240"/>
        <w:ind w:left="340"/>
      </w:pPr>
      <w:r>
        <w:rPr>
          <w:rFonts w:ascii="Consolas" w:cs="Consolas" w:eastAsia="Consolas" w:hAnsi="Consolas"/>
          <w:sz w:val="17"/>
          <w:szCs w:val="17"/>
        </w:rPr>
        <w:t xml:space="preserve">    SUM(f.Order_Profit_Per_Order) AS total_profit</w:t>
      </w:r>
    </w:p>
    <w:p>
      <w:pPr>
        <w:keepNext/>
        <w:shd w:fill="F2F2F2" w:val="clear"/>
        <w:spacing w:after="0" w:line="240"/>
        <w:ind w:left="340"/>
      </w:pPr>
      <w:r>
        <w:rPr>
          <w:rFonts w:ascii="Consolas" w:cs="Consolas" w:eastAsia="Consolas" w:hAnsi="Consolas"/>
          <w:sz w:val="17"/>
          <w:szCs w:val="17"/>
        </w:rPr>
        <w:t xml:space="preserve">FROM SupplyChain_Lakehouse.dbo.fact_shipment f</w:t>
      </w:r>
    </w:p>
    <w:p>
      <w:pPr>
        <w:keepNext/>
        <w:shd w:fill="F2F2F2" w:val="clear"/>
        <w:spacing w:after="0" w:line="240"/>
        <w:ind w:left="340"/>
      </w:pPr>
      <w:r>
        <w:rPr>
          <w:rFonts w:ascii="Consolas" w:cs="Consolas" w:eastAsia="Consolas" w:hAnsi="Consolas"/>
          <w:sz w:val="17"/>
          <w:szCs w:val="17"/>
        </w:rPr>
        <w:t xml:space="preserve">JOIN SupplyChain_Lakehouse.dbo.dim_supplier sup</w:t>
      </w:r>
    </w:p>
    <w:p>
      <w:pPr>
        <w:keepNext/>
        <w:shd w:fill="F2F2F2" w:val="clear"/>
        <w:spacing w:after="0" w:line="240"/>
        <w:ind w:left="340"/>
      </w:pPr>
      <w:r>
        <w:rPr>
          <w:rFonts w:ascii="Consolas" w:cs="Consolas" w:eastAsia="Consolas" w:hAnsi="Consolas"/>
          <w:sz w:val="17"/>
          <w:szCs w:val="17"/>
        </w:rPr>
        <w:t xml:space="preserve">     ON f.Department_Id = sup.Department_Id</w:t>
      </w:r>
    </w:p>
    <w:p>
      <w:pPr>
        <w:keepNext/>
        <w:shd w:fill="F2F2F2" w:val="clear"/>
        <w:spacing w:after="0" w:line="240"/>
        <w:ind w:left="340"/>
      </w:pPr>
      <w:r>
        <w:rPr>
          <w:rFonts w:ascii="Consolas" w:cs="Consolas" w:eastAsia="Consolas" w:hAnsi="Consolas"/>
          <w:sz w:val="17"/>
          <w:szCs w:val="17"/>
        </w:rPr>
        <w:t xml:space="preserve">JOIN SupplyChain_Lakehouse.dbo.dim_date d</w:t>
      </w:r>
    </w:p>
    <w:p>
      <w:pPr>
        <w:keepNext/>
        <w:shd w:fill="F2F2F2" w:val="clear"/>
        <w:spacing w:after="0" w:line="240"/>
        <w:ind w:left="340"/>
      </w:pPr>
      <w:r>
        <w:rPr>
          <w:rFonts w:ascii="Consolas" w:cs="Consolas" w:eastAsia="Consolas" w:hAnsi="Consolas"/>
          <w:sz w:val="17"/>
          <w:szCs w:val="17"/>
        </w:rPr>
        <w:t xml:space="preserve">     ON f.order_date = d.full_date</w:t>
      </w:r>
    </w:p>
    <w:p>
      <w:pPr>
        <w:keepNext/>
        <w:shd w:fill="F2F2F2" w:val="clear"/>
        <w:spacing w:after="0" w:line="240"/>
        <w:ind w:left="340"/>
      </w:pPr>
      <w:r>
        <w:rPr>
          <w:rFonts w:ascii="Consolas" w:cs="Consolas" w:eastAsia="Consolas" w:hAnsi="Consolas"/>
          <w:sz w:val="17"/>
          <w:szCs w:val="17"/>
        </w:rPr>
        <w:t xml:space="preserve">GROUP BY f.Department_Id, sup.Department_Name, f.Order_Region,</w:t>
      </w:r>
    </w:p>
    <w:p>
      <w:pPr>
        <w:keepNext w:val="false"/>
        <w:shd w:fill="F2F2F2" w:val="clear"/>
        <w:spacing w:after="160" w:line="240"/>
        <w:ind w:left="340"/>
      </w:pPr>
      <w:r>
        <w:rPr>
          <w:rFonts w:ascii="Consolas" w:cs="Consolas" w:eastAsia="Consolas" w:hAnsi="Consolas"/>
          <w:sz w:val="17"/>
          <w:szCs w:val="17"/>
        </w:rPr>
        <w:t xml:space="preserve">         d.year, d.month, d.month_name;</w:t>
      </w:r>
    </w:p>
    <w:p>
      <w:pPr>
        <w:spacing w:after="60" w:before="160"/>
        <w:jc w:val="center"/>
      </w:pPr>
      <w:r>
        <w:drawing>
          <wp:inline distT="0" distB="0" distL="0" distR="0">
            <wp:extent cx="52863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86375" cy="1847850"/>
                    </a:xfrm>
                    <a:prstGeom prst="rect">
                      <a:avLst/>
                    </a:prstGeom>
                  </pic:spPr>
                </pic:pic>
              </a:graphicData>
            </a:graphic>
          </wp:inline>
        </w:drawing>
      </w:r>
    </w:p>
    <w:p>
      <w:pPr>
        <w:spacing w:after="240"/>
        <w:jc w:val="center"/>
      </w:pPr>
      <w:r>
        <w:rPr>
          <w:i/>
          <w:iCs/>
          <w:color w:val="595959"/>
          <w:sz w:val="18"/>
          <w:szCs w:val="18"/>
        </w:rPr>
        <w:t xml:space="preserve">Figure 20 — Résultats de la vue vw_shipment_kpis, agrégés par département, région et mois</w:t>
      </w:r>
    </w:p>
    <w:p>
      <w:pPr>
        <w:pStyle w:val="Heading2"/>
        <w:spacing w:after="140" w:before="280"/>
      </w:pPr>
      <w:r>
        <w:rPr>
          <w:b/>
          <w:bCs/>
          <w:color w:val="2E5496"/>
          <w:sz w:val="26"/>
          <w:szCs w:val="26"/>
        </w:rPr>
        <w:t xml:space="preserve">9.7 Validation de bout en bout</w:t>
      </w:r>
    </w:p>
    <w:p>
      <w:pPr>
        <w:spacing w:after="120" w:line="276"/>
      </w:pPr>
      <w:r>
        <w:rPr>
          <w:sz w:val="22"/>
          <w:szCs w:val="22"/>
        </w:rPr>
        <w:t xml:space="preserve">Une requête de contrôle a été exécutée pour comparer les volumes de chaque couche :</w:t>
      </w:r>
    </w:p>
    <w:p>
      <w:pPr>
        <w:spacing w:after="60" w:before="160"/>
        <w:jc w:val="center"/>
      </w:pPr>
      <w:r>
        <w:drawing>
          <wp:inline distT="0" distB="0" distL="0" distR="0">
            <wp:extent cx="5715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790575"/>
                    </a:xfrm>
                    <a:prstGeom prst="rect">
                      <a:avLst/>
                    </a:prstGeom>
                  </pic:spPr>
                </pic:pic>
              </a:graphicData>
            </a:graphic>
          </wp:inline>
        </w:drawing>
      </w:r>
    </w:p>
    <w:p>
      <w:pPr>
        <w:spacing w:after="240"/>
        <w:jc w:val="center"/>
      </w:pPr>
      <w:r>
        <w:rPr>
          <w:i/>
          <w:iCs/>
          <w:color w:val="595959"/>
          <w:sz w:val="18"/>
          <w:szCs w:val="18"/>
        </w:rPr>
        <w:t xml:space="preserve">Figure 21 — Validation des volumes par table après exécution complète</w:t>
      </w:r>
    </w:p>
    <w:p>
      <w:pPr>
        <w:spacing w:after="120" w:line="276"/>
      </w:pPr>
      <w:r>
        <w:rPr>
          <w:sz w:val="22"/>
          <w:szCs w:val="22"/>
        </w:rPr>
        <w:t xml:space="preserve">La correspondance exacte entre la table de staging initiale et la table de faits finale constitue la preuve la plus directe de la fiabilité du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tblHeader/>
        </w:trPr>
        <w:tc>
          <w:tcPr>
            <w:tcW w:type="dxa" w:w="2600"/>
            <w:shd w:fill="D9E2F3" w:val="clear"/>
            <w:tcMar>
              <w:top w:type="dxa" w:w="80"/>
              <w:left w:type="dxa" w:w="110"/>
              <w:bottom w:type="dxa" w:w="80"/>
              <w:right w:type="dxa" w:w="110"/>
            </w:tcMar>
          </w:tcPr>
          <w:p>
            <w:pPr>
              <w:spacing w:after="0" w:line="240"/>
            </w:pPr>
            <w:r>
              <w:rPr>
                <w:b/>
                <w:bCs/>
                <w:sz w:val="19"/>
                <w:szCs w:val="19"/>
              </w:rPr>
              <w:t xml:space="preserve">Table</w:t>
            </w:r>
          </w:p>
        </w:tc>
        <w:tc>
          <w:tcPr>
            <w:tcW w:type="dxa" w:w="2200"/>
            <w:shd w:fill="D9E2F3" w:val="clear"/>
            <w:tcMar>
              <w:top w:type="dxa" w:w="80"/>
              <w:left w:type="dxa" w:w="110"/>
              <w:bottom w:type="dxa" w:w="80"/>
              <w:right w:type="dxa" w:w="110"/>
            </w:tcMar>
          </w:tcPr>
          <w:p>
            <w:pPr>
              <w:spacing w:after="0" w:line="240"/>
            </w:pPr>
            <w:r>
              <w:rPr>
                <w:b/>
                <w:bCs/>
                <w:sz w:val="19"/>
                <w:szCs w:val="19"/>
              </w:rPr>
              <w:t xml:space="preserve">Lignes attendues</w:t>
            </w:r>
          </w:p>
        </w:tc>
        <w:tc>
          <w:tcPr>
            <w:tcW w:type="dxa" w:w="2200"/>
            <w:shd w:fill="D9E2F3" w:val="clear"/>
            <w:tcMar>
              <w:top w:type="dxa" w:w="80"/>
              <w:left w:type="dxa" w:w="110"/>
              <w:bottom w:type="dxa" w:w="80"/>
              <w:right w:type="dxa" w:w="110"/>
            </w:tcMar>
          </w:tcPr>
          <w:p>
            <w:pPr>
              <w:spacing w:after="0" w:line="240"/>
            </w:pPr>
            <w:r>
              <w:rPr>
                <w:b/>
                <w:bCs/>
                <w:sz w:val="19"/>
                <w:szCs w:val="19"/>
              </w:rPr>
              <w:t xml:space="preserve">Lignes obtenues</w:t>
            </w:r>
          </w:p>
        </w:tc>
        <w:tc>
          <w:tcPr>
            <w:tcW w:type="dxa" w:w="2026"/>
            <w:shd w:fill="D9E2F3" w:val="clear"/>
            <w:tcMar>
              <w:top w:type="dxa" w:w="80"/>
              <w:left w:type="dxa" w:w="110"/>
              <w:bottom w:type="dxa" w:w="80"/>
              <w:right w:type="dxa" w:w="110"/>
            </w:tcMar>
          </w:tcPr>
          <w:p>
            <w:pPr>
              <w:spacing w:after="0" w:line="240"/>
            </w:pPr>
            <w:r>
              <w:rPr>
                <w:b/>
                <w:bCs/>
                <w:sz w:val="19"/>
                <w:szCs w:val="19"/>
              </w:rPr>
              <w:t xml:space="preserve">Statut</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stg.orders (SQL Server)</w:t>
            </w:r>
          </w:p>
        </w:tc>
        <w:tc>
          <w:tcPr>
            <w:tcW w:type="dxa" w:w="2200"/>
            <w:tcMar>
              <w:top w:type="dxa" w:w="80"/>
              <w:left w:type="dxa" w:w="110"/>
              <w:bottom w:type="dxa" w:w="80"/>
              <w:right w:type="dxa" w:w="110"/>
            </w:tcMar>
          </w:tcPr>
          <w:p>
            <w:pPr>
              <w:spacing w:after="0" w:line="240"/>
            </w:pPr>
            <w:r>
              <w:rPr>
                <w:b w:val="false"/>
                <w:bCs w:val="false"/>
                <w:sz w:val="19"/>
                <w:szCs w:val="19"/>
              </w:rPr>
              <w:t xml:space="preserve">180 519</w:t>
            </w:r>
          </w:p>
        </w:tc>
        <w:tc>
          <w:tcPr>
            <w:tcW w:type="dxa" w:w="2200"/>
            <w:tcMar>
              <w:top w:type="dxa" w:w="80"/>
              <w:left w:type="dxa" w:w="110"/>
              <w:bottom w:type="dxa" w:w="80"/>
              <w:right w:type="dxa" w:w="110"/>
            </w:tcMar>
          </w:tcPr>
          <w:p>
            <w:pPr>
              <w:spacing w:after="0" w:line="240"/>
            </w:pPr>
            <w:r>
              <w:rPr>
                <w:b w:val="false"/>
                <w:bCs w:val="false"/>
                <w:sz w:val="19"/>
                <w:szCs w:val="19"/>
              </w:rPr>
              <w:t xml:space="preserve">180 519</w:t>
            </w:r>
          </w:p>
        </w:tc>
        <w:tc>
          <w:tcPr>
            <w:tcW w:type="dxa" w:w="2026"/>
            <w:tcMar>
              <w:top w:type="dxa" w:w="80"/>
              <w:left w:type="dxa" w:w="110"/>
              <w:bottom w:type="dxa" w:w="80"/>
              <w:right w:type="dxa" w:w="110"/>
            </w:tcMar>
          </w:tcPr>
          <w:p>
            <w:pPr>
              <w:spacing w:after="0" w:line="240"/>
            </w:pPr>
            <w:r>
              <w:rPr>
                <w:b w:val="false"/>
                <w:bCs w:val="false"/>
                <w:sz w:val="19"/>
                <w:szCs w:val="19"/>
              </w:rPr>
              <w:t xml:space="preserve">Conforme</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silver_orders</w:t>
            </w:r>
          </w:p>
        </w:tc>
        <w:tc>
          <w:tcPr>
            <w:tcW w:type="dxa" w:w="2200"/>
            <w:tcMar>
              <w:top w:type="dxa" w:w="80"/>
              <w:left w:type="dxa" w:w="110"/>
              <w:bottom w:type="dxa" w:w="80"/>
              <w:right w:type="dxa" w:w="110"/>
            </w:tcMar>
          </w:tcPr>
          <w:p>
            <w:pPr>
              <w:spacing w:after="0" w:line="240"/>
            </w:pPr>
            <w:r>
              <w:rPr>
                <w:b w:val="false"/>
                <w:bCs w:val="false"/>
                <w:sz w:val="19"/>
                <w:szCs w:val="19"/>
              </w:rPr>
              <w:t xml:space="preserve">180 519</w:t>
            </w:r>
          </w:p>
        </w:tc>
        <w:tc>
          <w:tcPr>
            <w:tcW w:type="dxa" w:w="2200"/>
            <w:tcMar>
              <w:top w:type="dxa" w:w="80"/>
              <w:left w:type="dxa" w:w="110"/>
              <w:bottom w:type="dxa" w:w="80"/>
              <w:right w:type="dxa" w:w="110"/>
            </w:tcMar>
          </w:tcPr>
          <w:p>
            <w:pPr>
              <w:spacing w:after="0" w:line="240"/>
            </w:pPr>
            <w:r>
              <w:rPr>
                <w:b w:val="false"/>
                <w:bCs w:val="false"/>
                <w:sz w:val="19"/>
                <w:szCs w:val="19"/>
              </w:rPr>
              <w:t xml:space="preserve">180 519</w:t>
            </w:r>
          </w:p>
        </w:tc>
        <w:tc>
          <w:tcPr>
            <w:tcW w:type="dxa" w:w="2026"/>
            <w:tcMar>
              <w:top w:type="dxa" w:w="80"/>
              <w:left w:type="dxa" w:w="110"/>
              <w:bottom w:type="dxa" w:w="80"/>
              <w:right w:type="dxa" w:w="110"/>
            </w:tcMar>
          </w:tcPr>
          <w:p>
            <w:pPr>
              <w:spacing w:after="0" w:line="240"/>
            </w:pPr>
            <w:r>
              <w:rPr>
                <w:b w:val="false"/>
                <w:bCs w:val="false"/>
                <w:sz w:val="19"/>
                <w:szCs w:val="19"/>
              </w:rPr>
              <w:t xml:space="preserve">Conforme</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fact_shipment</w:t>
            </w:r>
          </w:p>
        </w:tc>
        <w:tc>
          <w:tcPr>
            <w:tcW w:type="dxa" w:w="2200"/>
            <w:tcMar>
              <w:top w:type="dxa" w:w="80"/>
              <w:left w:type="dxa" w:w="110"/>
              <w:bottom w:type="dxa" w:w="80"/>
              <w:right w:type="dxa" w:w="110"/>
            </w:tcMar>
          </w:tcPr>
          <w:p>
            <w:pPr>
              <w:spacing w:after="0" w:line="240"/>
            </w:pPr>
            <w:r>
              <w:rPr>
                <w:b w:val="false"/>
                <w:bCs w:val="false"/>
                <w:sz w:val="19"/>
                <w:szCs w:val="19"/>
              </w:rPr>
              <w:t xml:space="preserve">180 519</w:t>
            </w:r>
          </w:p>
        </w:tc>
        <w:tc>
          <w:tcPr>
            <w:tcW w:type="dxa" w:w="2200"/>
            <w:tcMar>
              <w:top w:type="dxa" w:w="80"/>
              <w:left w:type="dxa" w:w="110"/>
              <w:bottom w:type="dxa" w:w="80"/>
              <w:right w:type="dxa" w:w="110"/>
            </w:tcMar>
          </w:tcPr>
          <w:p>
            <w:pPr>
              <w:spacing w:after="0" w:line="240"/>
            </w:pPr>
            <w:r>
              <w:rPr>
                <w:b w:val="false"/>
                <w:bCs w:val="false"/>
                <w:sz w:val="19"/>
                <w:szCs w:val="19"/>
              </w:rPr>
              <w:t xml:space="preserve">180 519</w:t>
            </w:r>
          </w:p>
        </w:tc>
        <w:tc>
          <w:tcPr>
            <w:tcW w:type="dxa" w:w="2026"/>
            <w:tcMar>
              <w:top w:type="dxa" w:w="80"/>
              <w:left w:type="dxa" w:w="110"/>
              <w:bottom w:type="dxa" w:w="80"/>
              <w:right w:type="dxa" w:w="110"/>
            </w:tcMar>
          </w:tcPr>
          <w:p>
            <w:pPr>
              <w:spacing w:after="0" w:line="240"/>
            </w:pPr>
            <w:r>
              <w:rPr>
                <w:b w:val="false"/>
                <w:bCs w:val="false"/>
                <w:sz w:val="19"/>
                <w:szCs w:val="19"/>
              </w:rPr>
              <w:t xml:space="preserve">Conforme</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dim_supplier</w:t>
            </w:r>
          </w:p>
        </w:tc>
        <w:tc>
          <w:tcPr>
            <w:tcW w:type="dxa" w:w="2200"/>
            <w:tcMar>
              <w:top w:type="dxa" w:w="80"/>
              <w:left w:type="dxa" w:w="110"/>
              <w:bottom w:type="dxa" w:w="80"/>
              <w:right w:type="dxa" w:w="110"/>
            </w:tcMar>
          </w:tcPr>
          <w:p>
            <w:pPr>
              <w:spacing w:after="0" w:line="240"/>
            </w:pPr>
            <w:r>
              <w:rPr>
                <w:b w:val="false"/>
                <w:bCs w:val="false"/>
                <w:sz w:val="19"/>
                <w:szCs w:val="19"/>
              </w:rPr>
              <w:t xml:space="preserve">11</w:t>
            </w:r>
          </w:p>
        </w:tc>
        <w:tc>
          <w:tcPr>
            <w:tcW w:type="dxa" w:w="2200"/>
            <w:tcMar>
              <w:top w:type="dxa" w:w="80"/>
              <w:left w:type="dxa" w:w="110"/>
              <w:bottom w:type="dxa" w:w="80"/>
              <w:right w:type="dxa" w:w="110"/>
            </w:tcMar>
          </w:tcPr>
          <w:p>
            <w:pPr>
              <w:spacing w:after="0" w:line="240"/>
            </w:pPr>
            <w:r>
              <w:rPr>
                <w:b w:val="false"/>
                <w:bCs w:val="false"/>
                <w:sz w:val="19"/>
                <w:szCs w:val="19"/>
              </w:rPr>
              <w:t xml:space="preserve">11</w:t>
            </w:r>
          </w:p>
        </w:tc>
        <w:tc>
          <w:tcPr>
            <w:tcW w:type="dxa" w:w="2026"/>
            <w:tcMar>
              <w:top w:type="dxa" w:w="80"/>
              <w:left w:type="dxa" w:w="110"/>
              <w:bottom w:type="dxa" w:w="80"/>
              <w:right w:type="dxa" w:w="110"/>
            </w:tcMar>
          </w:tcPr>
          <w:p>
            <w:pPr>
              <w:spacing w:after="0" w:line="240"/>
            </w:pPr>
            <w:r>
              <w:rPr>
                <w:b w:val="false"/>
                <w:bCs w:val="false"/>
                <w:sz w:val="19"/>
                <w:szCs w:val="19"/>
              </w:rPr>
              <w:t xml:space="preserve">Conforme</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dim_date</w:t>
            </w:r>
          </w:p>
        </w:tc>
        <w:tc>
          <w:tcPr>
            <w:tcW w:type="dxa" w:w="2200"/>
            <w:tcMar>
              <w:top w:type="dxa" w:w="80"/>
              <w:left w:type="dxa" w:w="110"/>
              <w:bottom w:type="dxa" w:w="80"/>
              <w:right w:type="dxa" w:w="110"/>
            </w:tcMar>
          </w:tcPr>
          <w:p>
            <w:pPr>
              <w:spacing w:after="0" w:line="240"/>
            </w:pPr>
            <w:r>
              <w:rPr>
                <w:b w:val="false"/>
                <w:bCs w:val="false"/>
                <w:sz w:val="19"/>
                <w:szCs w:val="19"/>
              </w:rPr>
              <w:t xml:space="preserve">1 127</w:t>
            </w:r>
          </w:p>
        </w:tc>
        <w:tc>
          <w:tcPr>
            <w:tcW w:type="dxa" w:w="2200"/>
            <w:tcMar>
              <w:top w:type="dxa" w:w="80"/>
              <w:left w:type="dxa" w:w="110"/>
              <w:bottom w:type="dxa" w:w="80"/>
              <w:right w:type="dxa" w:w="110"/>
            </w:tcMar>
          </w:tcPr>
          <w:p>
            <w:pPr>
              <w:spacing w:after="0" w:line="240"/>
            </w:pPr>
            <w:r>
              <w:rPr>
                <w:b w:val="false"/>
                <w:bCs w:val="false"/>
                <w:sz w:val="19"/>
                <w:szCs w:val="19"/>
              </w:rPr>
              <w:t xml:space="preserve">1 127</w:t>
            </w:r>
          </w:p>
        </w:tc>
        <w:tc>
          <w:tcPr>
            <w:tcW w:type="dxa" w:w="2026"/>
            <w:tcMar>
              <w:top w:type="dxa" w:w="80"/>
              <w:left w:type="dxa" w:w="110"/>
              <w:bottom w:type="dxa" w:w="80"/>
              <w:right w:type="dxa" w:w="110"/>
            </w:tcMar>
          </w:tcPr>
          <w:p>
            <w:pPr>
              <w:spacing w:after="0" w:line="240"/>
            </w:pPr>
            <w:r>
              <w:rPr>
                <w:b w:val="false"/>
                <w:bCs w:val="false"/>
                <w:sz w:val="19"/>
                <w:szCs w:val="19"/>
              </w:rPr>
              <w:t xml:space="preserve">Conforme</w:t>
            </w:r>
          </w:p>
        </w:tc>
      </w:tr>
    </w:tbl>
    <w:p>
      <w:pPr>
        <w:spacing w:after="120" w:line="276"/>
      </w:pPr>
      <w:r>
        <w:rPr>
          <w:sz w:val="22"/>
          <w:szCs w:val="22"/>
        </w:rPr>
        <w:t xml:space="preserve"/>
      </w:r>
    </w:p>
    <w:p>
      <w:pPr>
        <w:pStyle w:val="Heading1"/>
        <w:pageBreakBefore/>
        <w:spacing w:after="200" w:before="0"/>
      </w:pPr>
      <w:r>
        <w:rPr>
          <w:b/>
          <w:bCs/>
          <w:color w:val="1F3864"/>
          <w:sz w:val="32"/>
          <w:szCs w:val="32"/>
        </w:rPr>
        <w:t xml:space="preserve">10. Phase 6 — Orchestration et automatisation</w:t>
      </w:r>
    </w:p>
    <w:p>
      <w:pPr>
        <w:spacing w:after="120" w:line="276"/>
      </w:pPr>
      <w:r>
        <w:rPr>
          <w:sz w:val="22"/>
          <w:szCs w:val="22"/>
        </w:rPr>
        <w:t xml:space="preserve">L’objectif de cette phase était d’automatiser l’enchaînement des traitements afin qu’une exécution unique déclenche l’intégralité de la chaîne, sans intervention manuelle.</w:t>
      </w:r>
    </w:p>
    <w:p>
      <w:pPr>
        <w:pStyle w:val="Heading2"/>
        <w:spacing w:after="140" w:before="280"/>
      </w:pPr>
      <w:r>
        <w:rPr>
          <w:b/>
          <w:bCs/>
          <w:color w:val="2E5496"/>
          <w:sz w:val="26"/>
          <w:szCs w:val="26"/>
        </w:rPr>
        <w:t xml:space="preserve">10.1 Approche initialement prévue</w:t>
      </w:r>
    </w:p>
    <w:p>
      <w:pPr>
        <w:spacing w:after="120" w:line="276"/>
      </w:pPr>
      <w:r>
        <w:rPr>
          <w:sz w:val="22"/>
          <w:szCs w:val="22"/>
        </w:rPr>
        <w:t xml:space="preserve">Le plan initial prévoyait que le pipeline Azure Data Factory déclenche lui-même les notebooks Fabric au moyen d’activités Web appelant l’API REST de Fabric. Cette approche impose une authentification par principal de service (service principal), elle-même conditionnée à la création d’une inscription d’application dans Microsoft Entra ID.</w:t>
      </w:r>
    </w:p>
    <w:p>
      <w:pPr>
        <w:pStyle w:val="Heading2"/>
        <w:spacing w:after="140" w:before="280"/>
      </w:pPr>
      <w:r>
        <w:rPr>
          <w:b/>
          <w:bCs/>
          <w:color w:val="2E5496"/>
          <w:sz w:val="26"/>
          <w:szCs w:val="26"/>
        </w:rPr>
        <w:t xml:space="preserve">10.2 Blocage rencontré</w:t>
      </w:r>
    </w:p>
    <w:p>
      <w:pPr>
        <w:spacing w:after="120" w:line="276"/>
      </w:pPr>
      <w:r>
        <w:rPr>
          <w:sz w:val="22"/>
          <w:szCs w:val="22"/>
        </w:rPr>
        <w:t xml:space="preserve">La tentative de création de l’inscription d’application s’est soldée par un refus d’accès (erreur HTTP 401), la création de ce type d’objet étant réservée aux comptes administrateurs du locataire.</w:t>
      </w:r>
    </w:p>
    <w:p>
      <w:pPr>
        <w:spacing w:after="120" w:line="276"/>
      </w:pPr>
      <w:r>
        <w:rPr>
          <w:sz w:val="22"/>
          <w:szCs w:val="22"/>
        </w:rPr>
        <w:t xml:space="preserve">L’analyse a établi que le compte utilisé appartient à un locataire (tenant) administré par l’organisation, dans lequel la création d’inscriptions d’applications est réservée aux administrateurs par une stratégie de sécurité. Il s’agit donc d’une contrainte organisationnelle, non d’une erreur de configuration, et elle n’était pas contournable depuis le compte utilisateur.</w:t>
      </w:r>
    </w:p>
    <w:p>
      <w:pPr>
        <w:pStyle w:val="Heading2"/>
        <w:spacing w:after="140" w:before="280"/>
      </w:pPr>
      <w:r>
        <w:rPr>
          <w:b/>
          <w:bCs/>
          <w:color w:val="2E5496"/>
          <w:sz w:val="26"/>
          <w:szCs w:val="26"/>
        </w:rPr>
        <w:t xml:space="preserve">10.3 Solution retenue</w:t>
      </w:r>
    </w:p>
    <w:p>
      <w:pPr>
        <w:spacing w:after="120" w:line="276"/>
      </w:pPr>
      <w:r>
        <w:rPr>
          <w:sz w:val="22"/>
          <w:szCs w:val="22"/>
        </w:rPr>
        <w:t xml:space="preserve">Plutôt que de solliciter une dérogation administrative, une solution alternative a été mise en œuvre : l’utilisation d’un pipeline natif Microsoft Fabric. Ce type de pipeline offre les mêmes capacités d’orchestration visuelle qu’Azure Data Factory, mais s’exécute à l’intérieur de Fabric, sous l’identité de l’utilisateur connecté — supprimant de fait tout besoin de principal de service.</w:t>
      </w:r>
    </w:p>
    <w:p>
      <w:pPr>
        <w:spacing w:after="120" w:line="276"/>
      </w:pPr>
      <w:r>
        <w:rPr>
          <w:sz w:val="22"/>
          <w:szCs w:val="22"/>
        </w:rPr>
        <w:t xml:space="preserve">Le pipeline PL_Orchestrate_Silver_Gold enchaîne deux activités Notebook reliées par une contrainte de succès :</w:t>
      </w:r>
    </w:p>
    <w:p>
      <w:pPr>
        <w:spacing w:after="60" w:before="160"/>
        <w:jc w:val="center"/>
      </w:pPr>
      <w:r>
        <w:drawing>
          <wp:inline distT="0" distB="0" distL="0" distR="0">
            <wp:extent cx="4953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476625"/>
                    </a:xfrm>
                    <a:prstGeom prst="rect">
                      <a:avLst/>
                    </a:prstGeom>
                  </pic:spPr>
                </pic:pic>
              </a:graphicData>
            </a:graphic>
          </wp:inline>
        </w:drawing>
      </w:r>
    </w:p>
    <w:p>
      <w:pPr>
        <w:spacing w:after="240"/>
        <w:jc w:val="center"/>
      </w:pPr>
      <w:r>
        <w:rPr>
          <w:i/>
          <w:iCs/>
          <w:color w:val="595959"/>
          <w:sz w:val="18"/>
          <w:szCs w:val="18"/>
        </w:rPr>
        <w:t xml:space="preserve">Figure 22 — Pipeline PL_Orchestrate_Silver_Gold : enchaînement conditionnel des deux notebooks</w:t>
      </w:r>
    </w:p>
    <w:p>
      <w:pPr>
        <w:spacing w:after="120" w:line="276"/>
      </w:pPr>
      <w:r>
        <w:rPr>
          <w:sz w:val="22"/>
          <w:szCs w:val="22"/>
        </w:rPr>
        <w:t xml:space="preserve">Le second notebook ne s’exécute que si le premier s’est terminé correctement. Cette dépendance conditionnelle évite qu’une couche gold soit reconstruite à partir d’une couche silver défaillante ou incomplète.</w:t>
      </w:r>
    </w:p>
    <w:p>
      <w:pPr>
        <w:spacing w:after="60" w:before="160"/>
        <w:jc w:val="center"/>
      </w:pPr>
      <w:r>
        <w:drawing>
          <wp:inline distT="0" distB="0" distL="0" distR="0">
            <wp:extent cx="5715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552450"/>
                    </a:xfrm>
                    <a:prstGeom prst="rect">
                      <a:avLst/>
                    </a:prstGeom>
                  </pic:spPr>
                </pic:pic>
              </a:graphicData>
            </a:graphic>
          </wp:inline>
        </w:drawing>
      </w:r>
    </w:p>
    <w:p>
      <w:pPr>
        <w:spacing w:after="240"/>
        <w:jc w:val="center"/>
      </w:pPr>
      <w:r>
        <w:rPr>
          <w:i/>
          <w:iCs/>
          <w:color w:val="595959"/>
          <w:sz w:val="18"/>
          <w:szCs w:val="18"/>
        </w:rPr>
        <w:t xml:space="preserve">Figure 23 — Historique d’exécution : les deux activités se terminent en succès</w:t>
      </w:r>
    </w:p>
    <w:p>
      <w:pPr>
        <w:spacing w:after="120" w:line="276"/>
      </w:pPr>
      <w:r>
        <w:rPr>
          <w:sz w:val="22"/>
          <w:szCs w:val="22"/>
        </w:rPr>
        <w:t xml:space="preserve">L’exécution complète prend environ trois minutes et vingt secondes (1 min 47 s pour le passage bronze → silver, 1 min 37 s pour silver → gold).</w:t>
      </w:r>
    </w:p>
    <w:p>
      <w:pPr>
        <w:pStyle w:val="Heading2"/>
        <w:spacing w:after="140" w:before="280"/>
      </w:pPr>
      <w:r>
        <w:rPr>
          <w:b/>
          <w:bCs/>
          <w:color w:val="2E5496"/>
          <w:sz w:val="26"/>
          <w:szCs w:val="26"/>
        </w:rPr>
        <w:t xml:space="preserve">10.4 Analyse de la solution alternative</w:t>
      </w:r>
    </w:p>
    <w:p>
      <w:pPr>
        <w:spacing w:after="120" w:line="276"/>
      </w:pPr>
      <w:r>
        <w:rPr>
          <w:sz w:val="22"/>
          <w:szCs w:val="22"/>
        </w:rPr>
        <w:t xml:space="preserve">Ce changement d’approche n’est pas un simple contournement : il correspond à la pratique recommandée. Azure Data Factory conserve tout son intérêt pour orchestrer des services Azure hétérogènes, ce qui est précisément son rôle en phase 4 pour l’ingestion depuis une source on-premise. En revanche, pour enchaîner des artefacts natifs de Fabric — en l’occurrence deux notebooks — le pipeline Fabric constitue l’outil approprié : moins de dépendances, moins de configuration, moins de surface d’erreur.</w:t>
      </w:r>
    </w:p>
    <w:p>
      <w:pPr>
        <w:spacing w:after="120" w:line="276"/>
      </w:pPr>
      <w:r>
        <w:rPr>
          <w:sz w:val="22"/>
          <w:szCs w:val="22"/>
        </w:rPr>
        <w:t xml:space="preserve">La chaîne complète s’exécute donc aujourd’hui en deux déclenchements : le pipeline ADF pour l’ingestion vers la couche bronze, puis le pipeline Fabric pour les transformations silver et gold. Cette séparation reste parfaitement cohérente en production, chaque pipeline relevant d’une plateforme et d’une responsabilité distinctes.</w:t>
      </w:r>
    </w:p>
    <w:p>
      <w:pPr>
        <w:pStyle w:val="Heading1"/>
        <w:pageBreakBefore/>
        <w:spacing w:after="200" w:before="0"/>
      </w:pPr>
      <w:r>
        <w:rPr>
          <w:b/>
          <w:bCs/>
          <w:color w:val="1F3864"/>
          <w:sz w:val="32"/>
          <w:szCs w:val="32"/>
        </w:rPr>
        <w:t xml:space="preserve">11. Phase 7 — Tableau de bord Power BI</w:t>
      </w:r>
    </w:p>
    <w:p>
      <w:pPr>
        <w:spacing w:after="120" w:line="276"/>
      </w:pPr>
      <w:r>
        <w:rPr>
          <w:sz w:val="22"/>
          <w:szCs w:val="22"/>
        </w:rPr>
        <w:t xml:space="preserve">La dernière phase restitue les données de la couche gold sous forme d’un tableau de bord décisionnel destiné à un utilisateur métier.</w:t>
      </w:r>
    </w:p>
    <w:p>
      <w:pPr>
        <w:pStyle w:val="Heading2"/>
        <w:spacing w:after="140" w:before="280"/>
      </w:pPr>
      <w:r>
        <w:rPr>
          <w:b/>
          <w:bCs/>
          <w:color w:val="2E5496"/>
          <w:sz w:val="26"/>
          <w:szCs w:val="26"/>
        </w:rPr>
        <w:t xml:space="preserve">11.1 Connexion et mode de stockage</w:t>
      </w:r>
    </w:p>
    <w:p>
      <w:pPr>
        <w:spacing w:after="120" w:line="276"/>
      </w:pPr>
      <w:r>
        <w:rPr>
          <w:sz w:val="22"/>
          <w:szCs w:val="22"/>
        </w:rPr>
        <w:t xml:space="preserve">La connexion à l’entrepôt Fabric a été établie en mode DirectQuery plutôt qu’en mode Import. Ce choix garantit que le rapport reflète en permanence l’état courant des données : toute exécution du pipeline d’orchestration est immédiatement visible dans le rapport, sans étape d’actualisation intermédiaire.</w:t>
      </w:r>
    </w:p>
    <w:p>
      <w:pPr>
        <w:pStyle w:val="Heading2"/>
        <w:spacing w:after="140" w:before="280"/>
      </w:pPr>
      <w:r>
        <w:rPr>
          <w:b/>
          <w:bCs/>
          <w:color w:val="2E5496"/>
          <w:sz w:val="26"/>
          <w:szCs w:val="26"/>
        </w:rPr>
        <w:t xml:space="preserve">11.2 Modèle de données</w:t>
      </w:r>
    </w:p>
    <w:p>
      <w:pPr>
        <w:spacing w:after="120" w:line="276"/>
      </w:pPr>
      <w:r>
        <w:rPr>
          <w:sz w:val="22"/>
          <w:szCs w:val="22"/>
        </w:rPr>
        <w:t xml:space="preserve">Deux relations ont été créées pour constituer le schéma en étoile, avec dans les deux cas une cardinalité « un à plusieurs » et un sens de filtrage unique, de la dimension vers la table de faits :</w:t>
      </w:r>
    </w:p>
    <w:p>
      <w:pPr>
        <w:pStyle w:val="ListParagraph"/>
        <w:numPr>
          <w:ilvl w:val="0"/>
          <w:numId w:val="2"/>
        </w:numPr>
        <w:spacing w:after="80" w:line="276"/>
      </w:pPr>
      <w:r>
        <w:rPr>
          <w:sz w:val="22"/>
          <w:szCs w:val="22"/>
        </w:rPr>
        <w:t xml:space="preserve">dim_supplier[Department_Id] → fact_shipment[Department_Id]</w:t>
      </w:r>
    </w:p>
    <w:p>
      <w:pPr>
        <w:pStyle w:val="ListParagraph"/>
        <w:numPr>
          <w:ilvl w:val="0"/>
          <w:numId w:val="2"/>
        </w:numPr>
        <w:spacing w:after="80" w:line="276"/>
      </w:pPr>
      <w:r>
        <w:rPr>
          <w:sz w:val="22"/>
          <w:szCs w:val="22"/>
        </w:rPr>
        <w:t xml:space="preserve">dim_date[full_date] → fact_shipment[order_date]</w:t>
      </w:r>
    </w:p>
    <w:p>
      <w:pPr>
        <w:spacing w:after="60" w:before="160"/>
        <w:jc w:val="center"/>
      </w:pPr>
      <w:r>
        <w:drawing>
          <wp:inline distT="0" distB="0" distL="0" distR="0">
            <wp:extent cx="40005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3876675"/>
                    </a:xfrm>
                    <a:prstGeom prst="rect">
                      <a:avLst/>
                    </a:prstGeom>
                  </pic:spPr>
                </pic:pic>
              </a:graphicData>
            </a:graphic>
          </wp:inline>
        </w:drawing>
      </w:r>
    </w:p>
    <w:p>
      <w:pPr>
        <w:spacing w:after="240"/>
        <w:jc w:val="center"/>
      </w:pPr>
      <w:r>
        <w:rPr>
          <w:i/>
          <w:iCs/>
          <w:color w:val="595959"/>
          <w:sz w:val="18"/>
          <w:szCs w:val="18"/>
        </w:rPr>
        <w:t xml:space="preserve">Figure 24 — Schéma en étoile : les deux dimensions filtrent la table de faits</w:t>
      </w:r>
    </w:p>
    <w:p>
      <w:pPr>
        <w:pStyle w:val="Heading2"/>
        <w:spacing w:after="140" w:before="280"/>
      </w:pPr>
      <w:r>
        <w:rPr>
          <w:b/>
          <w:bCs/>
          <w:color w:val="2E5496"/>
          <w:sz w:val="26"/>
          <w:szCs w:val="26"/>
        </w:rPr>
        <w:t xml:space="preserve">11.3 Mesures DAX</w:t>
      </w:r>
    </w:p>
    <w:p>
      <w:pPr>
        <w:spacing w:after="120" w:line="276"/>
      </w:pPr>
      <w:r>
        <w:rPr>
          <w:sz w:val="22"/>
          <w:szCs w:val="22"/>
        </w:rPr>
        <w:t xml:space="preserve">Six mesures ont été définies pour couvrir les axes d’analyse retenus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26"/>
      </w:tblGrid>
      <w:tr>
        <w:trPr>
          <w:tblHeader/>
        </w:trPr>
        <w:tc>
          <w:tcPr>
            <w:tcW w:type="dxa" w:w="2300"/>
            <w:shd w:fill="D9E2F3" w:val="clear"/>
            <w:tcMar>
              <w:top w:type="dxa" w:w="80"/>
              <w:left w:type="dxa" w:w="110"/>
              <w:bottom w:type="dxa" w:w="80"/>
              <w:right w:type="dxa" w:w="110"/>
            </w:tcMar>
          </w:tcPr>
          <w:p>
            <w:pPr>
              <w:spacing w:after="0" w:line="240"/>
            </w:pPr>
            <w:r>
              <w:rPr>
                <w:b/>
                <w:bCs/>
                <w:sz w:val="19"/>
                <w:szCs w:val="19"/>
              </w:rPr>
              <w:t xml:space="preserve">Mesure (français)</w:t>
            </w:r>
          </w:p>
        </w:tc>
        <w:tc>
          <w:tcPr>
            <w:tcW w:type="dxa" w:w="3900"/>
            <w:shd w:fill="D9E2F3" w:val="clear"/>
            <w:tcMar>
              <w:top w:type="dxa" w:w="80"/>
              <w:left w:type="dxa" w:w="110"/>
              <w:bottom w:type="dxa" w:w="80"/>
              <w:right w:type="dxa" w:w="110"/>
            </w:tcMar>
          </w:tcPr>
          <w:p>
            <w:pPr>
              <w:spacing w:after="0" w:line="240"/>
            </w:pPr>
            <w:r>
              <w:rPr>
                <w:b/>
                <w:bCs/>
                <w:sz w:val="19"/>
                <w:szCs w:val="19"/>
              </w:rPr>
              <w:t xml:space="preserve">Définition DAX</w:t>
            </w:r>
          </w:p>
        </w:tc>
        <w:tc>
          <w:tcPr>
            <w:tcW w:type="dxa" w:w="2826"/>
            <w:shd w:fill="D9E2F3" w:val="clear"/>
            <w:tcMar>
              <w:top w:type="dxa" w:w="80"/>
              <w:left w:type="dxa" w:w="110"/>
              <w:bottom w:type="dxa" w:w="80"/>
              <w:right w:type="dxa" w:w="110"/>
            </w:tcMar>
          </w:tcPr>
          <w:p>
            <w:pPr>
              <w:spacing w:after="0" w:line="240"/>
            </w:pPr>
            <w:r>
              <w:rPr>
                <w:b/>
                <w:bCs/>
                <w:sz w:val="19"/>
                <w:szCs w:val="19"/>
              </w:rPr>
              <w:t xml:space="preserve">Signification</w:t>
            </w:r>
          </w:p>
        </w:tc>
      </w:tr>
      <w:tr>
        <w:trPr>
          <w:tblHeader w:val="false"/>
        </w:trPr>
        <w:tc>
          <w:tcPr>
            <w:tcW w:type="dxa" w:w="2300"/>
            <w:tcMar>
              <w:top w:type="dxa" w:w="80"/>
              <w:left w:type="dxa" w:w="110"/>
              <w:bottom w:type="dxa" w:w="80"/>
              <w:right w:type="dxa" w:w="110"/>
            </w:tcMar>
          </w:tcPr>
          <w:p>
            <w:pPr>
              <w:spacing w:after="0" w:line="240"/>
            </w:pPr>
            <w:r>
              <w:rPr>
                <w:b w:val="false"/>
                <w:bCs w:val="false"/>
                <w:sz w:val="19"/>
                <w:szCs w:val="19"/>
              </w:rPr>
              <w:t xml:space="preserve">Ventes Totales</w:t>
            </w:r>
          </w:p>
        </w:tc>
        <w:tc>
          <w:tcPr>
            <w:tcW w:type="dxa" w:w="3900"/>
            <w:tcMar>
              <w:top w:type="dxa" w:w="80"/>
              <w:left w:type="dxa" w:w="110"/>
              <w:bottom w:type="dxa" w:w="80"/>
              <w:right w:type="dxa" w:w="110"/>
            </w:tcMar>
          </w:tcPr>
          <w:p>
            <w:pPr>
              <w:spacing w:after="0" w:line="240"/>
            </w:pPr>
            <w:r>
              <w:rPr>
                <w:b w:val="false"/>
                <w:bCs w:val="false"/>
                <w:sz w:val="19"/>
                <w:szCs w:val="19"/>
              </w:rPr>
              <w:t xml:space="preserve">SUM(fact_shipment[Sales])</w:t>
            </w:r>
          </w:p>
        </w:tc>
        <w:tc>
          <w:tcPr>
            <w:tcW w:type="dxa" w:w="2826"/>
            <w:tcMar>
              <w:top w:type="dxa" w:w="80"/>
              <w:left w:type="dxa" w:w="110"/>
              <w:bottom w:type="dxa" w:w="80"/>
              <w:right w:type="dxa" w:w="110"/>
            </w:tcMar>
          </w:tcPr>
          <w:p>
            <w:pPr>
              <w:spacing w:after="0" w:line="240"/>
            </w:pPr>
            <w:r>
              <w:rPr>
                <w:b w:val="false"/>
                <w:bCs w:val="false"/>
                <w:sz w:val="19"/>
                <w:szCs w:val="19"/>
              </w:rPr>
              <w:t xml:space="preserve">Chiffre d’affaires cumulé</w:t>
            </w:r>
          </w:p>
        </w:tc>
      </w:tr>
      <w:tr>
        <w:trPr>
          <w:tblHeader w:val="false"/>
        </w:trPr>
        <w:tc>
          <w:tcPr>
            <w:tcW w:type="dxa" w:w="2300"/>
            <w:tcMar>
              <w:top w:type="dxa" w:w="80"/>
              <w:left w:type="dxa" w:w="110"/>
              <w:bottom w:type="dxa" w:w="80"/>
              <w:right w:type="dxa" w:w="110"/>
            </w:tcMar>
          </w:tcPr>
          <w:p>
            <w:pPr>
              <w:spacing w:after="0" w:line="240"/>
            </w:pPr>
            <w:r>
              <w:rPr>
                <w:b w:val="false"/>
                <w:bCs w:val="false"/>
                <w:sz w:val="19"/>
                <w:szCs w:val="19"/>
              </w:rPr>
              <w:t xml:space="preserve">Bénéfice Total</w:t>
            </w:r>
          </w:p>
        </w:tc>
        <w:tc>
          <w:tcPr>
            <w:tcW w:type="dxa" w:w="3900"/>
            <w:tcMar>
              <w:top w:type="dxa" w:w="80"/>
              <w:left w:type="dxa" w:w="110"/>
              <w:bottom w:type="dxa" w:w="80"/>
              <w:right w:type="dxa" w:w="110"/>
            </w:tcMar>
          </w:tcPr>
          <w:p>
            <w:pPr>
              <w:spacing w:after="0" w:line="240"/>
            </w:pPr>
            <w:r>
              <w:rPr>
                <w:b w:val="false"/>
                <w:bCs w:val="false"/>
                <w:sz w:val="19"/>
                <w:szCs w:val="19"/>
              </w:rPr>
              <w:t xml:space="preserve">SUM(fact_shipment[Order_Profit_Per_Order])</w:t>
            </w:r>
          </w:p>
        </w:tc>
        <w:tc>
          <w:tcPr>
            <w:tcW w:type="dxa" w:w="2826"/>
            <w:tcMar>
              <w:top w:type="dxa" w:w="80"/>
              <w:left w:type="dxa" w:w="110"/>
              <w:bottom w:type="dxa" w:w="80"/>
              <w:right w:type="dxa" w:w="110"/>
            </w:tcMar>
          </w:tcPr>
          <w:p>
            <w:pPr>
              <w:spacing w:after="0" w:line="240"/>
            </w:pPr>
            <w:r>
              <w:rPr>
                <w:b w:val="false"/>
                <w:bCs w:val="false"/>
                <w:sz w:val="19"/>
                <w:szCs w:val="19"/>
              </w:rPr>
              <w:t xml:space="preserve">Marge cumulée</w:t>
            </w:r>
          </w:p>
        </w:tc>
      </w:tr>
      <w:tr>
        <w:trPr>
          <w:tblHeader w:val="false"/>
        </w:trPr>
        <w:tc>
          <w:tcPr>
            <w:tcW w:type="dxa" w:w="2300"/>
            <w:tcMar>
              <w:top w:type="dxa" w:w="80"/>
              <w:left w:type="dxa" w:w="110"/>
              <w:bottom w:type="dxa" w:w="80"/>
              <w:right w:type="dxa" w:w="110"/>
            </w:tcMar>
          </w:tcPr>
          <w:p>
            <w:pPr>
              <w:spacing w:after="0" w:line="240"/>
            </w:pPr>
            <w:r>
              <w:rPr>
                <w:b w:val="false"/>
                <w:bCs w:val="false"/>
                <w:sz w:val="19"/>
                <w:szCs w:val="19"/>
              </w:rPr>
              <w:t xml:space="preserve">Total des Expéditions</w:t>
            </w:r>
          </w:p>
        </w:tc>
        <w:tc>
          <w:tcPr>
            <w:tcW w:type="dxa" w:w="3900"/>
            <w:tcMar>
              <w:top w:type="dxa" w:w="80"/>
              <w:left w:type="dxa" w:w="110"/>
              <w:bottom w:type="dxa" w:w="80"/>
              <w:right w:type="dxa" w:w="110"/>
            </w:tcMar>
          </w:tcPr>
          <w:p>
            <w:pPr>
              <w:spacing w:after="0" w:line="240"/>
            </w:pPr>
            <w:r>
              <w:rPr>
                <w:b w:val="false"/>
                <w:bCs w:val="false"/>
                <w:sz w:val="19"/>
                <w:szCs w:val="19"/>
              </w:rPr>
              <w:t xml:space="preserve">COUNTROWS(fact_shipment)</w:t>
            </w:r>
          </w:p>
        </w:tc>
        <w:tc>
          <w:tcPr>
            <w:tcW w:type="dxa" w:w="2826"/>
            <w:tcMar>
              <w:top w:type="dxa" w:w="80"/>
              <w:left w:type="dxa" w:w="110"/>
              <w:bottom w:type="dxa" w:w="80"/>
              <w:right w:type="dxa" w:w="110"/>
            </w:tcMar>
          </w:tcPr>
          <w:p>
            <w:pPr>
              <w:spacing w:after="0" w:line="240"/>
            </w:pPr>
            <w:r>
              <w:rPr>
                <w:b w:val="false"/>
                <w:bCs w:val="false"/>
                <w:sz w:val="19"/>
                <w:szCs w:val="19"/>
              </w:rPr>
              <w:t xml:space="preserve">Nombre de lignes de commande expédiées</w:t>
            </w:r>
          </w:p>
        </w:tc>
      </w:tr>
      <w:tr>
        <w:trPr>
          <w:tblHeader w:val="false"/>
        </w:trPr>
        <w:tc>
          <w:tcPr>
            <w:tcW w:type="dxa" w:w="2300"/>
            <w:tcMar>
              <w:top w:type="dxa" w:w="80"/>
              <w:left w:type="dxa" w:w="110"/>
              <w:bottom w:type="dxa" w:w="80"/>
              <w:right w:type="dxa" w:w="110"/>
            </w:tcMar>
          </w:tcPr>
          <w:p>
            <w:pPr>
              <w:spacing w:after="0" w:line="240"/>
            </w:pPr>
            <w:r>
              <w:rPr>
                <w:b w:val="false"/>
                <w:bCs w:val="false"/>
                <w:sz w:val="19"/>
                <w:szCs w:val="19"/>
              </w:rPr>
              <w:t xml:space="preserve">Délai Moyen de Livraison</w:t>
            </w:r>
          </w:p>
        </w:tc>
        <w:tc>
          <w:tcPr>
            <w:tcW w:type="dxa" w:w="3900"/>
            <w:tcMar>
              <w:top w:type="dxa" w:w="80"/>
              <w:left w:type="dxa" w:w="110"/>
              <w:bottom w:type="dxa" w:w="80"/>
              <w:right w:type="dxa" w:w="110"/>
            </w:tcMar>
          </w:tcPr>
          <w:p>
            <w:pPr>
              <w:spacing w:after="0" w:line="240"/>
            </w:pPr>
            <w:r>
              <w:rPr>
                <w:b w:val="false"/>
                <w:bCs w:val="false"/>
                <w:sz w:val="19"/>
                <w:szCs w:val="19"/>
              </w:rPr>
              <w:t xml:space="preserve">AVERAGE(fact_shipment[lead_time_days])</w:t>
            </w:r>
          </w:p>
        </w:tc>
        <w:tc>
          <w:tcPr>
            <w:tcW w:type="dxa" w:w="2826"/>
            <w:tcMar>
              <w:top w:type="dxa" w:w="80"/>
              <w:left w:type="dxa" w:w="110"/>
              <w:bottom w:type="dxa" w:w="80"/>
              <w:right w:type="dxa" w:w="110"/>
            </w:tcMar>
          </w:tcPr>
          <w:p>
            <w:pPr>
              <w:spacing w:after="0" w:line="240"/>
            </w:pPr>
            <w:r>
              <w:rPr>
                <w:b w:val="false"/>
                <w:bCs w:val="false"/>
                <w:sz w:val="19"/>
                <w:szCs w:val="19"/>
              </w:rPr>
              <w:t xml:space="preserve">Délai réel moyen en jours</w:t>
            </w:r>
          </w:p>
        </w:tc>
      </w:tr>
      <w:tr>
        <w:trPr>
          <w:tblHeader w:val="false"/>
        </w:trPr>
        <w:tc>
          <w:tcPr>
            <w:tcW w:type="dxa" w:w="2300"/>
            <w:tcMar>
              <w:top w:type="dxa" w:w="80"/>
              <w:left w:type="dxa" w:w="110"/>
              <w:bottom w:type="dxa" w:w="80"/>
              <w:right w:type="dxa" w:w="110"/>
            </w:tcMar>
          </w:tcPr>
          <w:p>
            <w:pPr>
              <w:spacing w:after="0" w:line="240"/>
            </w:pPr>
            <w:r>
              <w:rPr>
                <w:b w:val="false"/>
                <w:bCs w:val="false"/>
                <w:sz w:val="19"/>
                <w:szCs w:val="19"/>
              </w:rPr>
              <w:t xml:space="preserve">Retard Moyen (Jours)</w:t>
            </w:r>
          </w:p>
        </w:tc>
        <w:tc>
          <w:tcPr>
            <w:tcW w:type="dxa" w:w="3900"/>
            <w:tcMar>
              <w:top w:type="dxa" w:w="80"/>
              <w:left w:type="dxa" w:w="110"/>
              <w:bottom w:type="dxa" w:w="80"/>
              <w:right w:type="dxa" w:w="110"/>
            </w:tcMar>
          </w:tcPr>
          <w:p>
            <w:pPr>
              <w:spacing w:after="0" w:line="240"/>
            </w:pPr>
            <w:r>
              <w:rPr>
                <w:b w:val="false"/>
                <w:bCs w:val="false"/>
                <w:sz w:val="19"/>
                <w:szCs w:val="19"/>
              </w:rPr>
              <w:t xml:space="preserve">AVERAGE(fact_shipment[delay_days])</w:t>
            </w:r>
          </w:p>
        </w:tc>
        <w:tc>
          <w:tcPr>
            <w:tcW w:type="dxa" w:w="2826"/>
            <w:tcMar>
              <w:top w:type="dxa" w:w="80"/>
              <w:left w:type="dxa" w:w="110"/>
              <w:bottom w:type="dxa" w:w="80"/>
              <w:right w:type="dxa" w:w="110"/>
            </w:tcMar>
          </w:tcPr>
          <w:p>
            <w:pPr>
              <w:spacing w:after="0" w:line="240"/>
            </w:pPr>
            <w:r>
              <w:rPr>
                <w:b w:val="false"/>
                <w:bCs w:val="false"/>
                <w:sz w:val="19"/>
                <w:szCs w:val="19"/>
              </w:rPr>
              <w:t xml:space="preserve">Écart moyen au délai planifié</w:t>
            </w:r>
          </w:p>
        </w:tc>
      </w:tr>
      <w:tr>
        <w:trPr>
          <w:tblHeader w:val="false"/>
        </w:trPr>
        <w:tc>
          <w:tcPr>
            <w:tcW w:type="dxa" w:w="2300"/>
            <w:tcMar>
              <w:top w:type="dxa" w:w="80"/>
              <w:left w:type="dxa" w:w="110"/>
              <w:bottom w:type="dxa" w:w="80"/>
              <w:right w:type="dxa" w:w="110"/>
            </w:tcMar>
          </w:tcPr>
          <w:p>
            <w:pPr>
              <w:spacing w:after="0" w:line="240"/>
            </w:pPr>
            <w:r>
              <w:rPr>
                <w:b w:val="false"/>
                <w:bCs w:val="false"/>
                <w:sz w:val="19"/>
                <w:szCs w:val="19"/>
              </w:rPr>
              <w:t xml:space="preserve">Taux de Livraison à Temps</w:t>
            </w:r>
          </w:p>
        </w:tc>
        <w:tc>
          <w:tcPr>
            <w:tcW w:type="dxa" w:w="3900"/>
            <w:tcMar>
              <w:top w:type="dxa" w:w="80"/>
              <w:left w:type="dxa" w:w="110"/>
              <w:bottom w:type="dxa" w:w="80"/>
              <w:right w:type="dxa" w:w="110"/>
            </w:tcMar>
          </w:tcPr>
          <w:p>
            <w:pPr>
              <w:spacing w:after="0" w:line="240"/>
            </w:pPr>
            <w:r>
              <w:rPr>
                <w:b w:val="false"/>
                <w:bCs w:val="false"/>
                <w:sz w:val="19"/>
                <w:szCs w:val="19"/>
              </w:rPr>
              <w:t xml:space="preserve">DIVIDE(COUNTROWS(FILTER(fact_shipment; fact_shipment[is_late] = FALSE())); COUNTROWS(fact_shipment))</w:t>
            </w:r>
          </w:p>
        </w:tc>
        <w:tc>
          <w:tcPr>
            <w:tcW w:type="dxa" w:w="2826"/>
            <w:tcMar>
              <w:top w:type="dxa" w:w="80"/>
              <w:left w:type="dxa" w:w="110"/>
              <w:bottom w:type="dxa" w:w="80"/>
              <w:right w:type="dxa" w:w="110"/>
            </w:tcMar>
          </w:tcPr>
          <w:p>
            <w:pPr>
              <w:spacing w:after="0" w:line="240"/>
            </w:pPr>
            <w:r>
              <w:rPr>
                <w:b w:val="false"/>
                <w:bCs w:val="false"/>
                <w:sz w:val="19"/>
                <w:szCs w:val="19"/>
              </w:rPr>
              <w:t xml:space="preserve">Part des expéditions conformes au planning</w:t>
            </w:r>
          </w:p>
        </w:tc>
      </w:tr>
    </w:tbl>
    <w:p>
      <w:pPr>
        <w:spacing w:after="120" w:line="276"/>
      </w:pPr>
      <w:r>
        <w:rPr>
          <w:sz w:val="22"/>
          <w:szCs w:val="22"/>
        </w:rPr>
        <w:t xml:space="preserve"/>
      </w:r>
    </w:p>
    <w:p>
      <w:pPr>
        <w:spacing w:after="60" w:before="160"/>
        <w:jc w:val="center"/>
      </w:pPr>
      <w:r>
        <w:drawing>
          <wp:inline distT="0" distB="0" distL="0" distR="0">
            <wp:extent cx="3238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0" cy="2295525"/>
                    </a:xfrm>
                    <a:prstGeom prst="rect">
                      <a:avLst/>
                    </a:prstGeom>
                  </pic:spPr>
                </pic:pic>
              </a:graphicData>
            </a:graphic>
          </wp:inline>
        </w:drawing>
      </w:r>
    </w:p>
    <w:p>
      <w:pPr>
        <w:spacing w:after="240"/>
        <w:jc w:val="center"/>
      </w:pPr>
      <w:r>
        <w:rPr>
          <w:i/>
          <w:iCs/>
          <w:color w:val="595959"/>
          <w:sz w:val="18"/>
          <w:szCs w:val="18"/>
        </w:rPr>
        <w:t xml:space="preserve">Figure 25 — Mesures DAX définies dans le modèle</w:t>
      </w:r>
    </w:p>
    <w:p>
      <w:pPr>
        <w:spacing w:after="120" w:line="276"/>
      </w:pPr>
      <w:r>
        <w:rPr>
          <w:sz w:val="22"/>
          <w:szCs w:val="22"/>
        </w:rPr>
        <w:t xml:space="preserve">Une difficulté a été rencontrée sur la mesure du taux de livraison à temps, qui affichait initialement la valeur zéro. Le diagnostic a établi qu’il ne s’agissait pas d’une erreur de calcul mais d’un problème de format d’affichage : la valeur réelle, 0,43, était arrondie à l’entier inférieur faute de format pourcentage. L’application du format approprié a restitué la valeur correcte de 43 %.</w:t>
      </w:r>
    </w:p>
    <w:p>
      <w:pPr>
        <w:pStyle w:val="Heading2"/>
        <w:spacing w:after="140" w:before="280"/>
      </w:pPr>
      <w:r>
        <w:rPr>
          <w:b/>
          <w:bCs/>
          <w:color w:val="2E5496"/>
          <w:sz w:val="26"/>
          <w:szCs w:val="26"/>
        </w:rPr>
        <w:t xml:space="preserve">11.4 Composition du tableau de bord</w:t>
      </w:r>
    </w:p>
    <w:p>
      <w:pPr>
        <w:spacing w:after="120" w:line="276"/>
      </w:pPr>
      <w:r>
        <w:rPr>
          <w:sz w:val="22"/>
          <w:szCs w:val="22"/>
        </w:rPr>
        <w:t xml:space="preserve">Le tableau de bord tient sur une page unique, choix délibéré destiné à offrir une vue synoptique sans navigation. Il se compose des éléments suivants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D9E2F3" w:val="clear"/>
            <w:tcMar>
              <w:top w:type="dxa" w:w="80"/>
              <w:left w:type="dxa" w:w="110"/>
              <w:bottom w:type="dxa" w:w="80"/>
              <w:right w:type="dxa" w:w="110"/>
            </w:tcMar>
          </w:tcPr>
          <w:p>
            <w:pPr>
              <w:spacing w:after="0" w:line="240"/>
            </w:pPr>
            <w:r>
              <w:rPr>
                <w:b/>
                <w:bCs/>
                <w:sz w:val="19"/>
                <w:szCs w:val="19"/>
              </w:rPr>
              <w:t xml:space="preserve">Visuel</w:t>
            </w:r>
          </w:p>
        </w:tc>
        <w:tc>
          <w:tcPr>
            <w:tcW w:type="dxa" w:w="3500"/>
            <w:shd w:fill="D9E2F3" w:val="clear"/>
            <w:tcMar>
              <w:top w:type="dxa" w:w="80"/>
              <w:left w:type="dxa" w:w="110"/>
              <w:bottom w:type="dxa" w:w="80"/>
              <w:right w:type="dxa" w:w="110"/>
            </w:tcMar>
          </w:tcPr>
          <w:p>
            <w:pPr>
              <w:spacing w:after="0" w:line="240"/>
            </w:pPr>
            <w:r>
              <w:rPr>
                <w:b/>
                <w:bCs/>
                <w:sz w:val="19"/>
                <w:szCs w:val="19"/>
              </w:rPr>
              <w:t xml:space="preserve">Contenu</w:t>
            </w:r>
          </w:p>
        </w:tc>
        <w:tc>
          <w:tcPr>
            <w:tcW w:type="dxa" w:w="3526"/>
            <w:shd w:fill="D9E2F3" w:val="clear"/>
            <w:tcMar>
              <w:top w:type="dxa" w:w="80"/>
              <w:left w:type="dxa" w:w="110"/>
              <w:bottom w:type="dxa" w:w="80"/>
              <w:right w:type="dxa" w:w="110"/>
            </w:tcMar>
          </w:tcPr>
          <w:p>
            <w:pPr>
              <w:spacing w:after="0" w:line="240"/>
            </w:pPr>
            <w:r>
              <w:rPr>
                <w:b/>
                <w:bCs/>
                <w:sz w:val="19"/>
                <w:szCs w:val="19"/>
              </w:rPr>
              <w:t xml:space="preserve">Intérêt analytique</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Quatre cartes d’indicateurs</w:t>
            </w:r>
          </w:p>
        </w:tc>
        <w:tc>
          <w:tcPr>
            <w:tcW w:type="dxa" w:w="3500"/>
            <w:tcMar>
              <w:top w:type="dxa" w:w="80"/>
              <w:left w:type="dxa" w:w="110"/>
              <w:bottom w:type="dxa" w:w="80"/>
              <w:right w:type="dxa" w:w="110"/>
            </w:tcMar>
          </w:tcPr>
          <w:p>
            <w:pPr>
              <w:spacing w:after="0" w:line="240"/>
            </w:pPr>
            <w:r>
              <w:rPr>
                <w:b w:val="false"/>
                <w:bCs w:val="false"/>
                <w:sz w:val="19"/>
                <w:szCs w:val="19"/>
              </w:rPr>
              <w:t xml:space="preserve">Ventes Totales, Taux de Livraison à Temps, Délai Moyen, Total des Expéditions</w:t>
            </w:r>
          </w:p>
        </w:tc>
        <w:tc>
          <w:tcPr>
            <w:tcW w:type="dxa" w:w="3526"/>
            <w:tcMar>
              <w:top w:type="dxa" w:w="80"/>
              <w:left w:type="dxa" w:w="110"/>
              <w:bottom w:type="dxa" w:w="80"/>
              <w:right w:type="dxa" w:w="110"/>
            </w:tcMar>
          </w:tcPr>
          <w:p>
            <w:pPr>
              <w:spacing w:after="0" w:line="240"/>
            </w:pPr>
            <w:r>
              <w:rPr>
                <w:b w:val="false"/>
                <w:bCs w:val="false"/>
                <w:sz w:val="19"/>
                <w:szCs w:val="19"/>
              </w:rPr>
              <w:t xml:space="preserve">Lecture immédiate des indicateurs clés</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Segment temporel</w:t>
            </w:r>
          </w:p>
        </w:tc>
        <w:tc>
          <w:tcPr>
            <w:tcW w:type="dxa" w:w="3500"/>
            <w:tcMar>
              <w:top w:type="dxa" w:w="80"/>
              <w:left w:type="dxa" w:w="110"/>
              <w:bottom w:type="dxa" w:w="80"/>
              <w:right w:type="dxa" w:w="110"/>
            </w:tcMar>
          </w:tcPr>
          <w:p>
            <w:pPr>
              <w:spacing w:after="0" w:line="240"/>
            </w:pPr>
            <w:r>
              <w:rPr>
                <w:b w:val="false"/>
                <w:bCs w:val="false"/>
                <w:sz w:val="19"/>
                <w:szCs w:val="19"/>
              </w:rPr>
              <w:t xml:space="preserve">Filtre sur l’année (2015-2018)</w:t>
            </w:r>
          </w:p>
        </w:tc>
        <w:tc>
          <w:tcPr>
            <w:tcW w:type="dxa" w:w="3526"/>
            <w:tcMar>
              <w:top w:type="dxa" w:w="80"/>
              <w:left w:type="dxa" w:w="110"/>
              <w:bottom w:type="dxa" w:w="80"/>
              <w:right w:type="dxa" w:w="110"/>
            </w:tcMar>
          </w:tcPr>
          <w:p>
            <w:pPr>
              <w:spacing w:after="0" w:line="240"/>
            </w:pPr>
            <w:r>
              <w:rPr>
                <w:b w:val="false"/>
                <w:bCs w:val="false"/>
                <w:sz w:val="19"/>
                <w:szCs w:val="19"/>
              </w:rPr>
              <w:t xml:space="preserve">Permet de cadrer l’analyse sur une période</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Graphique à barres</w:t>
            </w:r>
          </w:p>
        </w:tc>
        <w:tc>
          <w:tcPr>
            <w:tcW w:type="dxa" w:w="3500"/>
            <w:tcMar>
              <w:top w:type="dxa" w:w="80"/>
              <w:left w:type="dxa" w:w="110"/>
              <w:bottom w:type="dxa" w:w="80"/>
              <w:right w:type="dxa" w:w="110"/>
            </w:tcMar>
          </w:tcPr>
          <w:p>
            <w:pPr>
              <w:spacing w:after="0" w:line="240"/>
            </w:pPr>
            <w:r>
              <w:rPr>
                <w:b w:val="false"/>
                <w:bCs w:val="false"/>
                <w:sz w:val="19"/>
                <w:szCs w:val="19"/>
              </w:rPr>
              <w:t xml:space="preserve">Ventes par région</w:t>
            </w:r>
          </w:p>
        </w:tc>
        <w:tc>
          <w:tcPr>
            <w:tcW w:type="dxa" w:w="3526"/>
            <w:tcMar>
              <w:top w:type="dxa" w:w="80"/>
              <w:left w:type="dxa" w:w="110"/>
              <w:bottom w:type="dxa" w:w="80"/>
              <w:right w:type="dxa" w:w="110"/>
            </w:tcMar>
          </w:tcPr>
          <w:p>
            <w:pPr>
              <w:spacing w:after="0" w:line="240"/>
            </w:pPr>
            <w:r>
              <w:rPr>
                <w:b w:val="false"/>
                <w:bCs w:val="false"/>
                <w:sz w:val="19"/>
                <w:szCs w:val="19"/>
              </w:rPr>
              <w:t xml:space="preserve">Identifie les marchés les plus contributeurs</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Graphique en secteurs</w:t>
            </w:r>
          </w:p>
        </w:tc>
        <w:tc>
          <w:tcPr>
            <w:tcW w:type="dxa" w:w="3500"/>
            <w:tcMar>
              <w:top w:type="dxa" w:w="80"/>
              <w:left w:type="dxa" w:w="110"/>
              <w:bottom w:type="dxa" w:w="80"/>
              <w:right w:type="dxa" w:w="110"/>
            </w:tcMar>
          </w:tcPr>
          <w:p>
            <w:pPr>
              <w:spacing w:after="0" w:line="240"/>
            </w:pPr>
            <w:r>
              <w:rPr>
                <w:b w:val="false"/>
                <w:bCs w:val="false"/>
                <w:sz w:val="19"/>
                <w:szCs w:val="19"/>
              </w:rPr>
              <w:t xml:space="preserve">Répartition des statuts de livraison</w:t>
            </w:r>
          </w:p>
        </w:tc>
        <w:tc>
          <w:tcPr>
            <w:tcW w:type="dxa" w:w="3526"/>
            <w:tcMar>
              <w:top w:type="dxa" w:w="80"/>
              <w:left w:type="dxa" w:w="110"/>
              <w:bottom w:type="dxa" w:w="80"/>
              <w:right w:type="dxa" w:w="110"/>
            </w:tcMar>
          </w:tcPr>
          <w:p>
            <w:pPr>
              <w:spacing w:after="0" w:line="240"/>
            </w:pPr>
            <w:r>
              <w:rPr>
                <w:b w:val="false"/>
                <w:bCs w:val="false"/>
                <w:sz w:val="19"/>
                <w:szCs w:val="19"/>
              </w:rPr>
              <w:t xml:space="preserve">Décompose visuellement le taux de service</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Carte géographique</w:t>
            </w:r>
          </w:p>
        </w:tc>
        <w:tc>
          <w:tcPr>
            <w:tcW w:type="dxa" w:w="3500"/>
            <w:tcMar>
              <w:top w:type="dxa" w:w="80"/>
              <w:left w:type="dxa" w:w="110"/>
              <w:bottom w:type="dxa" w:w="80"/>
              <w:right w:type="dxa" w:w="110"/>
            </w:tcMar>
          </w:tcPr>
          <w:p>
            <w:pPr>
              <w:spacing w:after="0" w:line="240"/>
            </w:pPr>
            <w:r>
              <w:rPr>
                <w:b w:val="false"/>
                <w:bCs w:val="false"/>
                <w:sz w:val="19"/>
                <w:szCs w:val="19"/>
              </w:rPr>
              <w:t xml:space="preserve">Ventes et expéditions par pays</w:t>
            </w:r>
          </w:p>
        </w:tc>
        <w:tc>
          <w:tcPr>
            <w:tcW w:type="dxa" w:w="3526"/>
            <w:tcMar>
              <w:top w:type="dxa" w:w="80"/>
              <w:left w:type="dxa" w:w="110"/>
              <w:bottom w:type="dxa" w:w="80"/>
              <w:right w:type="dxa" w:w="110"/>
            </w:tcMar>
          </w:tcPr>
          <w:p>
            <w:pPr>
              <w:spacing w:after="0" w:line="240"/>
            </w:pPr>
            <w:r>
              <w:rPr>
                <w:b w:val="false"/>
                <w:bCs w:val="false"/>
                <w:sz w:val="19"/>
                <w:szCs w:val="19"/>
              </w:rPr>
              <w:t xml:space="preserve">Visualise la couverture mondiale et la concentration de l’activité</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Nuage de points</w:t>
            </w:r>
          </w:p>
        </w:tc>
        <w:tc>
          <w:tcPr>
            <w:tcW w:type="dxa" w:w="3500"/>
            <w:tcMar>
              <w:top w:type="dxa" w:w="80"/>
              <w:left w:type="dxa" w:w="110"/>
              <w:bottom w:type="dxa" w:w="80"/>
              <w:right w:type="dxa" w:w="110"/>
            </w:tcMar>
          </w:tcPr>
          <w:p>
            <w:pPr>
              <w:spacing w:after="0" w:line="240"/>
            </w:pPr>
            <w:r>
              <w:rPr>
                <w:b w:val="false"/>
                <w:bCs w:val="false"/>
                <w:sz w:val="19"/>
                <w:szCs w:val="19"/>
              </w:rPr>
              <w:t xml:space="preserve">Délai moyen (X), taux de livraison (Y), ventes (taille), par département</w:t>
            </w:r>
          </w:p>
        </w:tc>
        <w:tc>
          <w:tcPr>
            <w:tcW w:type="dxa" w:w="3526"/>
            <w:tcMar>
              <w:top w:type="dxa" w:w="80"/>
              <w:left w:type="dxa" w:w="110"/>
              <w:bottom w:type="dxa" w:w="80"/>
              <w:right w:type="dxa" w:w="110"/>
            </w:tcMar>
          </w:tcPr>
          <w:p>
            <w:pPr>
              <w:spacing w:after="0" w:line="240"/>
            </w:pPr>
            <w:r>
              <w:rPr>
                <w:b w:val="false"/>
                <w:bCs w:val="false"/>
                <w:sz w:val="19"/>
                <w:szCs w:val="19"/>
              </w:rPr>
              <w:t xml:space="preserve">Croise performance et enjeu financier par département</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Graphique en ruban</w:t>
            </w:r>
          </w:p>
        </w:tc>
        <w:tc>
          <w:tcPr>
            <w:tcW w:type="dxa" w:w="3500"/>
            <w:tcMar>
              <w:top w:type="dxa" w:w="80"/>
              <w:left w:type="dxa" w:w="110"/>
              <w:bottom w:type="dxa" w:w="80"/>
              <w:right w:type="dxa" w:w="110"/>
            </w:tcMar>
          </w:tcPr>
          <w:p>
            <w:pPr>
              <w:spacing w:after="0" w:line="240"/>
            </w:pPr>
            <w:r>
              <w:rPr>
                <w:b w:val="false"/>
                <w:bCs w:val="false"/>
                <w:sz w:val="19"/>
                <w:szCs w:val="19"/>
              </w:rPr>
              <w:t xml:space="preserve">Évolution des statuts de livraison par année</w:t>
            </w:r>
          </w:p>
        </w:tc>
        <w:tc>
          <w:tcPr>
            <w:tcW w:type="dxa" w:w="3526"/>
            <w:tcMar>
              <w:top w:type="dxa" w:w="80"/>
              <w:left w:type="dxa" w:w="110"/>
              <w:bottom w:type="dxa" w:w="80"/>
              <w:right w:type="dxa" w:w="110"/>
            </w:tcMar>
          </w:tcPr>
          <w:p>
            <w:pPr>
              <w:spacing w:after="0" w:line="240"/>
            </w:pPr>
            <w:r>
              <w:rPr>
                <w:b w:val="false"/>
                <w:bCs w:val="false"/>
                <w:sz w:val="19"/>
                <w:szCs w:val="19"/>
              </w:rPr>
              <w:t xml:space="preserve">Met en évidence le déplacement des volumes entre statuts</w:t>
            </w:r>
          </w:p>
        </w:tc>
      </w:tr>
      <w:tr>
        <w:trPr>
          <w:tblHeader w:val="false"/>
        </w:trPr>
        <w:tc>
          <w:tcPr>
            <w:tcW w:type="dxa" w:w="2000"/>
            <w:tcMar>
              <w:top w:type="dxa" w:w="80"/>
              <w:left w:type="dxa" w:w="110"/>
              <w:bottom w:type="dxa" w:w="80"/>
              <w:right w:type="dxa" w:w="110"/>
            </w:tcMar>
          </w:tcPr>
          <w:p>
            <w:pPr>
              <w:spacing w:after="0" w:line="240"/>
            </w:pPr>
            <w:r>
              <w:rPr>
                <w:b w:val="false"/>
                <w:bCs w:val="false"/>
                <w:sz w:val="19"/>
                <w:szCs w:val="19"/>
              </w:rPr>
              <w:t xml:space="preserve">Graphique en courbes</w:t>
            </w:r>
          </w:p>
        </w:tc>
        <w:tc>
          <w:tcPr>
            <w:tcW w:type="dxa" w:w="3500"/>
            <w:tcMar>
              <w:top w:type="dxa" w:w="80"/>
              <w:left w:type="dxa" w:w="110"/>
              <w:bottom w:type="dxa" w:w="80"/>
              <w:right w:type="dxa" w:w="110"/>
            </w:tcMar>
          </w:tcPr>
          <w:p>
            <w:pPr>
              <w:spacing w:after="0" w:line="240"/>
            </w:pPr>
            <w:r>
              <w:rPr>
                <w:b w:val="false"/>
                <w:bCs w:val="false"/>
                <w:sz w:val="19"/>
                <w:szCs w:val="19"/>
              </w:rPr>
              <w:t xml:space="preserve">Tendance du taux de livraison à temps</w:t>
            </w:r>
          </w:p>
        </w:tc>
        <w:tc>
          <w:tcPr>
            <w:tcW w:type="dxa" w:w="3526"/>
            <w:tcMar>
              <w:top w:type="dxa" w:w="80"/>
              <w:left w:type="dxa" w:w="110"/>
              <w:bottom w:type="dxa" w:w="80"/>
              <w:right w:type="dxa" w:w="110"/>
            </w:tcMar>
          </w:tcPr>
          <w:p>
            <w:pPr>
              <w:spacing w:after="0" w:line="240"/>
            </w:pPr>
            <w:r>
              <w:rPr>
                <w:b w:val="false"/>
                <w:bCs w:val="false"/>
                <w:sz w:val="19"/>
                <w:szCs w:val="19"/>
              </w:rPr>
              <w:t xml:space="preserve">Révèle la dégradation ou l’amélioration dans le temps</w:t>
            </w:r>
          </w:p>
        </w:tc>
      </w:tr>
    </w:tbl>
    <w:p>
      <w:pPr>
        <w:spacing w:after="120" w:line="276"/>
      </w:pPr>
      <w:r>
        <w:rPr>
          <w:sz w:val="22"/>
          <w:szCs w:val="22"/>
        </w:rPr>
        <w:t xml:space="preserve"/>
      </w:r>
    </w:p>
    <w:p>
      <w:pPr>
        <w:spacing w:after="60" w:before="16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457450"/>
                    </a:xfrm>
                    <a:prstGeom prst="rect">
                      <a:avLst/>
                    </a:prstGeom>
                  </pic:spPr>
                </pic:pic>
              </a:graphicData>
            </a:graphic>
          </wp:inline>
        </w:drawing>
      </w:r>
    </w:p>
    <w:p>
      <w:pPr>
        <w:spacing w:after="240"/>
        <w:jc w:val="center"/>
      </w:pPr>
      <w:r>
        <w:rPr>
          <w:i/>
          <w:iCs/>
          <w:color w:val="595959"/>
          <w:sz w:val="18"/>
          <w:szCs w:val="18"/>
        </w:rPr>
        <w:t xml:space="preserve">Figure 26 — Carte des ventes et expéditions par pays</w:t>
      </w:r>
    </w:p>
    <w:p>
      <w:pPr>
        <w:spacing w:after="60" w:before="16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200400"/>
                    </a:xfrm>
                    <a:prstGeom prst="rect">
                      <a:avLst/>
                    </a:prstGeom>
                  </pic:spPr>
                </pic:pic>
              </a:graphicData>
            </a:graphic>
          </wp:inline>
        </w:drawing>
      </w:r>
    </w:p>
    <w:p>
      <w:pPr>
        <w:spacing w:after="240"/>
        <w:jc w:val="center"/>
      </w:pPr>
      <w:r>
        <w:rPr>
          <w:i/>
          <w:iCs/>
          <w:color w:val="595959"/>
          <w:sz w:val="18"/>
          <w:szCs w:val="18"/>
        </w:rPr>
        <w:t xml:space="preserve">Figure 27 — Tableau de bord final — Analytique Chaîne d’Approvisionnement et Logistique</w:t>
      </w:r>
    </w:p>
    <w:p>
      <w:pPr>
        <w:spacing w:after="120" w:line="276"/>
      </w:pPr>
      <w:r>
        <w:rPr>
          <w:sz w:val="22"/>
          <w:szCs w:val="22"/>
        </w:rPr>
        <w:t xml:space="preserve">L’intégralité des libellés — titre, titres de visuels, sous-titres et noms de mesures — a été traduite en français afin d’assurer la cohérence linguistique du livrable.</w:t>
      </w:r>
    </w:p>
    <w:p>
      <w:pPr>
        <w:pStyle w:val="Heading1"/>
        <w:pageBreakBefore/>
        <w:spacing w:after="200" w:before="0"/>
      </w:pPr>
      <w:r>
        <w:rPr>
          <w:b/>
          <w:bCs/>
          <w:color w:val="1F3864"/>
          <w:sz w:val="32"/>
          <w:szCs w:val="32"/>
        </w:rPr>
        <w:t xml:space="preserve">12. Résultats et enseignements métier</w:t>
      </w:r>
    </w:p>
    <w:p>
      <w:pPr>
        <w:pStyle w:val="Heading2"/>
        <w:spacing w:after="140" w:before="280"/>
      </w:pPr>
      <w:r>
        <w:rPr>
          <w:b/>
          <w:bCs/>
          <w:color w:val="2E5496"/>
          <w:sz w:val="26"/>
          <w:szCs w:val="26"/>
        </w:rPr>
        <w:t xml:space="preserve">12.1 Indicateurs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shd w:fill="D9E2F3" w:val="clear"/>
            <w:tcMar>
              <w:top w:type="dxa" w:w="80"/>
              <w:left w:type="dxa" w:w="110"/>
              <w:bottom w:type="dxa" w:w="80"/>
              <w:right w:type="dxa" w:w="110"/>
            </w:tcMar>
          </w:tcPr>
          <w:p>
            <w:pPr>
              <w:spacing w:after="0" w:line="240"/>
            </w:pPr>
            <w:r>
              <w:rPr>
                <w:b/>
                <w:bCs/>
                <w:sz w:val="19"/>
                <w:szCs w:val="19"/>
              </w:rPr>
              <w:t xml:space="preserve">Indicateur</w:t>
            </w:r>
          </w:p>
        </w:tc>
        <w:tc>
          <w:tcPr>
            <w:tcW w:type="dxa" w:w="1800"/>
            <w:shd w:fill="D9E2F3" w:val="clear"/>
            <w:tcMar>
              <w:top w:type="dxa" w:w="80"/>
              <w:left w:type="dxa" w:w="110"/>
              <w:bottom w:type="dxa" w:w="80"/>
              <w:right w:type="dxa" w:w="110"/>
            </w:tcMar>
          </w:tcPr>
          <w:p>
            <w:pPr>
              <w:spacing w:after="0" w:line="240"/>
            </w:pPr>
            <w:r>
              <w:rPr>
                <w:b/>
                <w:bCs/>
                <w:sz w:val="19"/>
                <w:szCs w:val="19"/>
              </w:rPr>
              <w:t xml:space="preserve">Valeur</w:t>
            </w:r>
          </w:p>
        </w:tc>
        <w:tc>
          <w:tcPr>
            <w:tcW w:type="dxa" w:w="4626"/>
            <w:shd w:fill="D9E2F3" w:val="clear"/>
            <w:tcMar>
              <w:top w:type="dxa" w:w="80"/>
              <w:left w:type="dxa" w:w="110"/>
              <w:bottom w:type="dxa" w:w="80"/>
              <w:right w:type="dxa" w:w="110"/>
            </w:tcMar>
          </w:tcPr>
          <w:p>
            <w:pPr>
              <w:spacing w:after="0" w:line="240"/>
            </w:pPr>
            <w:r>
              <w:rPr>
                <w:b/>
                <w:bCs/>
                <w:sz w:val="19"/>
                <w:szCs w:val="19"/>
              </w:rPr>
              <w:t xml:space="preserve">Lecture</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Ventes totales</w:t>
            </w:r>
          </w:p>
        </w:tc>
        <w:tc>
          <w:tcPr>
            <w:tcW w:type="dxa" w:w="1800"/>
            <w:tcMar>
              <w:top w:type="dxa" w:w="80"/>
              <w:left w:type="dxa" w:w="110"/>
              <w:bottom w:type="dxa" w:w="80"/>
              <w:right w:type="dxa" w:w="110"/>
            </w:tcMar>
          </w:tcPr>
          <w:p>
            <w:pPr>
              <w:spacing w:after="0" w:line="240"/>
            </w:pPr>
            <w:r>
              <w:rPr>
                <w:b w:val="false"/>
                <w:bCs w:val="false"/>
                <w:sz w:val="19"/>
                <w:szCs w:val="19"/>
              </w:rPr>
              <w:t xml:space="preserve">36,78 M€</w:t>
            </w:r>
          </w:p>
        </w:tc>
        <w:tc>
          <w:tcPr>
            <w:tcW w:type="dxa" w:w="4626"/>
            <w:tcMar>
              <w:top w:type="dxa" w:w="80"/>
              <w:left w:type="dxa" w:w="110"/>
              <w:bottom w:type="dxa" w:w="80"/>
              <w:right w:type="dxa" w:w="110"/>
            </w:tcMar>
          </w:tcPr>
          <w:p>
            <w:pPr>
              <w:spacing w:after="0" w:line="240"/>
            </w:pPr>
            <w:r>
              <w:rPr>
                <w:b w:val="false"/>
                <w:bCs w:val="false"/>
                <w:sz w:val="19"/>
                <w:szCs w:val="19"/>
              </w:rPr>
              <w:t xml:space="preserve">Chiffre d’affaires cumulé sur la période 2015-2018</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Taux de livraison à temps</w:t>
            </w:r>
          </w:p>
        </w:tc>
        <w:tc>
          <w:tcPr>
            <w:tcW w:type="dxa" w:w="1800"/>
            <w:tcMar>
              <w:top w:type="dxa" w:w="80"/>
              <w:left w:type="dxa" w:w="110"/>
              <w:bottom w:type="dxa" w:w="80"/>
              <w:right w:type="dxa" w:w="110"/>
            </w:tcMar>
          </w:tcPr>
          <w:p>
            <w:pPr>
              <w:spacing w:after="0" w:line="240"/>
            </w:pPr>
            <w:r>
              <w:rPr>
                <w:b w:val="false"/>
                <w:bCs w:val="false"/>
                <w:sz w:val="19"/>
                <w:szCs w:val="19"/>
              </w:rPr>
              <w:t xml:space="preserve">43 %</w:t>
            </w:r>
          </w:p>
        </w:tc>
        <w:tc>
          <w:tcPr>
            <w:tcW w:type="dxa" w:w="4626"/>
            <w:tcMar>
              <w:top w:type="dxa" w:w="80"/>
              <w:left w:type="dxa" w:w="110"/>
              <w:bottom w:type="dxa" w:w="80"/>
              <w:right w:type="dxa" w:w="110"/>
            </w:tcMar>
          </w:tcPr>
          <w:p>
            <w:pPr>
              <w:spacing w:after="0" w:line="240"/>
            </w:pPr>
            <w:r>
              <w:rPr>
                <w:b w:val="false"/>
                <w:bCs w:val="false"/>
                <w:sz w:val="19"/>
                <w:szCs w:val="19"/>
              </w:rPr>
              <w:t xml:space="preserve">Moins d’une expédition sur deux respecte le délai planifié</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Délai moyen d’expédition</w:t>
            </w:r>
          </w:p>
        </w:tc>
        <w:tc>
          <w:tcPr>
            <w:tcW w:type="dxa" w:w="1800"/>
            <w:tcMar>
              <w:top w:type="dxa" w:w="80"/>
              <w:left w:type="dxa" w:w="110"/>
              <w:bottom w:type="dxa" w:w="80"/>
              <w:right w:type="dxa" w:w="110"/>
            </w:tcMar>
          </w:tcPr>
          <w:p>
            <w:pPr>
              <w:spacing w:after="0" w:line="240"/>
            </w:pPr>
            <w:r>
              <w:rPr>
                <w:b w:val="false"/>
                <w:bCs w:val="false"/>
                <w:sz w:val="19"/>
                <w:szCs w:val="19"/>
              </w:rPr>
              <w:t xml:space="preserve">3,50 jours</w:t>
            </w:r>
          </w:p>
        </w:tc>
        <w:tc>
          <w:tcPr>
            <w:tcW w:type="dxa" w:w="4626"/>
            <w:tcMar>
              <w:top w:type="dxa" w:w="80"/>
              <w:left w:type="dxa" w:w="110"/>
              <w:bottom w:type="dxa" w:w="80"/>
              <w:right w:type="dxa" w:w="110"/>
            </w:tcMar>
          </w:tcPr>
          <w:p>
            <w:pPr>
              <w:spacing w:after="0" w:line="240"/>
            </w:pPr>
            <w:r>
              <w:rPr>
                <w:b w:val="false"/>
                <w:bCs w:val="false"/>
                <w:sz w:val="19"/>
                <w:szCs w:val="19"/>
              </w:rPr>
              <w:t xml:space="preserve">Délai réel moyen entre commande et expédition</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Retard moyen</w:t>
            </w:r>
          </w:p>
        </w:tc>
        <w:tc>
          <w:tcPr>
            <w:tcW w:type="dxa" w:w="1800"/>
            <w:tcMar>
              <w:top w:type="dxa" w:w="80"/>
              <w:left w:type="dxa" w:w="110"/>
              <w:bottom w:type="dxa" w:w="80"/>
              <w:right w:type="dxa" w:w="110"/>
            </w:tcMar>
          </w:tcPr>
          <w:p>
            <w:pPr>
              <w:spacing w:after="0" w:line="240"/>
            </w:pPr>
            <w:r>
              <w:rPr>
                <w:b w:val="false"/>
                <w:bCs w:val="false"/>
                <w:sz w:val="19"/>
                <w:szCs w:val="19"/>
              </w:rPr>
              <w:t xml:space="preserve">≈ 0,5 jour</w:t>
            </w:r>
          </w:p>
        </w:tc>
        <w:tc>
          <w:tcPr>
            <w:tcW w:type="dxa" w:w="4626"/>
            <w:tcMar>
              <w:top w:type="dxa" w:w="80"/>
              <w:left w:type="dxa" w:w="110"/>
              <w:bottom w:type="dxa" w:w="80"/>
              <w:right w:type="dxa" w:w="110"/>
            </w:tcMar>
          </w:tcPr>
          <w:p>
            <w:pPr>
              <w:spacing w:after="0" w:line="240"/>
            </w:pPr>
            <w:r>
              <w:rPr>
                <w:b w:val="false"/>
                <w:bCs w:val="false"/>
                <w:sz w:val="19"/>
                <w:szCs w:val="19"/>
              </w:rPr>
              <w:t xml:space="preserve">Dépassement moyen modéré mais très fréquent</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Total des expéditions</w:t>
            </w:r>
          </w:p>
        </w:tc>
        <w:tc>
          <w:tcPr>
            <w:tcW w:type="dxa" w:w="1800"/>
            <w:tcMar>
              <w:top w:type="dxa" w:w="80"/>
              <w:left w:type="dxa" w:w="110"/>
              <w:bottom w:type="dxa" w:w="80"/>
              <w:right w:type="dxa" w:w="110"/>
            </w:tcMar>
          </w:tcPr>
          <w:p>
            <w:pPr>
              <w:spacing w:after="0" w:line="240"/>
            </w:pPr>
            <w:r>
              <w:rPr>
                <w:b w:val="false"/>
                <w:bCs w:val="false"/>
                <w:sz w:val="19"/>
                <w:szCs w:val="19"/>
              </w:rPr>
              <w:t xml:space="preserve">181 K</w:t>
            </w:r>
          </w:p>
        </w:tc>
        <w:tc>
          <w:tcPr>
            <w:tcW w:type="dxa" w:w="4626"/>
            <w:tcMar>
              <w:top w:type="dxa" w:w="80"/>
              <w:left w:type="dxa" w:w="110"/>
              <w:bottom w:type="dxa" w:w="80"/>
              <w:right w:type="dxa" w:w="110"/>
            </w:tcMar>
          </w:tcPr>
          <w:p>
            <w:pPr>
              <w:spacing w:after="0" w:line="240"/>
            </w:pPr>
            <w:r>
              <w:rPr>
                <w:b w:val="false"/>
                <w:bCs w:val="false"/>
                <w:sz w:val="19"/>
                <w:szCs w:val="19"/>
              </w:rPr>
              <w:t xml:space="preserve">Lignes de commande traitées</w:t>
            </w:r>
          </w:p>
        </w:tc>
      </w:tr>
      <w:tr>
        <w:trPr>
          <w:tblHeader w:val="false"/>
        </w:trPr>
        <w:tc>
          <w:tcPr>
            <w:tcW w:type="dxa" w:w="2600"/>
            <w:tcMar>
              <w:top w:type="dxa" w:w="80"/>
              <w:left w:type="dxa" w:w="110"/>
              <w:bottom w:type="dxa" w:w="80"/>
              <w:right w:type="dxa" w:w="110"/>
            </w:tcMar>
          </w:tcPr>
          <w:p>
            <w:pPr>
              <w:spacing w:after="0" w:line="240"/>
            </w:pPr>
            <w:r>
              <w:rPr>
                <w:b w:val="false"/>
                <w:bCs w:val="false"/>
                <w:sz w:val="19"/>
                <w:szCs w:val="19"/>
              </w:rPr>
              <w:t xml:space="preserve">Départements analysés</w:t>
            </w:r>
          </w:p>
        </w:tc>
        <w:tc>
          <w:tcPr>
            <w:tcW w:type="dxa" w:w="1800"/>
            <w:tcMar>
              <w:top w:type="dxa" w:w="80"/>
              <w:left w:type="dxa" w:w="110"/>
              <w:bottom w:type="dxa" w:w="80"/>
              <w:right w:type="dxa" w:w="110"/>
            </w:tcMar>
          </w:tcPr>
          <w:p>
            <w:pPr>
              <w:spacing w:after="0" w:line="240"/>
            </w:pPr>
            <w:r>
              <w:rPr>
                <w:b w:val="false"/>
                <w:bCs w:val="false"/>
                <w:sz w:val="19"/>
                <w:szCs w:val="19"/>
              </w:rPr>
              <w:t xml:space="preserve">11</w:t>
            </w:r>
          </w:p>
        </w:tc>
        <w:tc>
          <w:tcPr>
            <w:tcW w:type="dxa" w:w="4626"/>
            <w:tcMar>
              <w:top w:type="dxa" w:w="80"/>
              <w:left w:type="dxa" w:w="110"/>
              <w:bottom w:type="dxa" w:w="80"/>
              <w:right w:type="dxa" w:w="110"/>
            </w:tcMar>
          </w:tcPr>
          <w:p>
            <w:pPr>
              <w:spacing w:after="0" w:line="240"/>
            </w:pPr>
            <w:r>
              <w:rPr>
                <w:b w:val="false"/>
                <w:bCs w:val="false"/>
                <w:sz w:val="19"/>
                <w:szCs w:val="19"/>
              </w:rPr>
              <w:t xml:space="preserve">Lignes d’activité couvertes</w:t>
            </w:r>
          </w:p>
        </w:tc>
      </w:tr>
    </w:tbl>
    <w:p>
      <w:pPr>
        <w:spacing w:after="120" w:line="276"/>
      </w:pPr>
      <w:r>
        <w:rPr>
          <w:sz w:val="22"/>
          <w:szCs w:val="22"/>
        </w:rPr>
        <w:t xml:space="preserve"/>
      </w:r>
    </w:p>
    <w:p>
      <w:pPr>
        <w:pStyle w:val="Heading2"/>
        <w:spacing w:after="140" w:before="280"/>
      </w:pPr>
      <w:r>
        <w:rPr>
          <w:b/>
          <w:bCs/>
          <w:color w:val="2E5496"/>
          <w:sz w:val="26"/>
          <w:szCs w:val="26"/>
        </w:rPr>
        <w:t xml:space="preserve">12.2 Constats principaux</w:t>
      </w:r>
    </w:p>
    <w:p>
      <w:pPr>
        <w:spacing w:after="120" w:line="276"/>
      </w:pPr>
      <w:r>
        <w:rPr>
          <w:sz w:val="22"/>
          <w:szCs w:val="22"/>
        </w:rPr>
        <w:t xml:space="preserve">Trois enseignements se dégagent de l’analyse :</w:t>
      </w:r>
    </w:p>
    <w:p>
      <w:pPr>
        <w:pStyle w:val="ListParagraph"/>
        <w:numPr>
          <w:ilvl w:val="0"/>
          <w:numId w:val="2"/>
        </w:numPr>
        <w:spacing w:after="80" w:line="276"/>
      </w:pPr>
      <w:r>
        <w:rPr>
          <w:sz w:val="22"/>
          <w:szCs w:val="22"/>
        </w:rPr>
        <w:t xml:space="preserve">Un taux de service structurellement faible — avec 43 % de livraisons conformes au planning, le respect des délais constitue l’exception plutôt que la règle. Le retard moyen restant inférieur à une journée, le problème semble davantage relever d’un planning systématiquement trop optimiste que d’incidents logistiques majeurs.</w:t>
      </w:r>
    </w:p>
    <w:p>
      <w:pPr>
        <w:pStyle w:val="ListParagraph"/>
        <w:numPr>
          <w:ilvl w:val="0"/>
          <w:numId w:val="2"/>
        </w:numPr>
        <w:spacing w:after="80" w:line="276"/>
      </w:pPr>
      <w:r>
        <w:rPr>
          <w:sz w:val="22"/>
          <w:szCs w:val="22"/>
        </w:rPr>
        <w:t xml:space="preserve">Une dégradation dans le temps — la courbe du taux de livraison à temps montre une baisse marquée sur la fin de la période observée, signal d’alerte justifiant une investigation sur les causes racines.</w:t>
      </w:r>
    </w:p>
    <w:p>
      <w:pPr>
        <w:pStyle w:val="ListParagraph"/>
        <w:numPr>
          <w:ilvl w:val="0"/>
          <w:numId w:val="2"/>
        </w:numPr>
        <w:spacing w:after="80" w:line="276"/>
      </w:pPr>
      <w:r>
        <w:rPr>
          <w:sz w:val="22"/>
          <w:szCs w:val="22"/>
        </w:rPr>
        <w:t xml:space="preserve">Une forte concentration géographique — les ventes se concentrent sur l’Europe de l’Ouest et l’Amérique centrale, ce qui suggère que des actions correctives ciblées sur ces deux régions auraient l’impact le plus significatif.</w:t>
      </w:r>
    </w:p>
    <w:p>
      <w:pPr>
        <w:spacing w:after="120" w:line="276"/>
      </w:pPr>
      <w:r>
        <w:rPr>
          <w:sz w:val="22"/>
          <w:szCs w:val="22"/>
        </w:rPr>
        <w:t xml:space="preserve">Le nuage de points croisant délai moyen, taux de livraison et volume de ventes par département permet par ailleurs d’identifier immédiatement les lignes d’activité combinant un enjeu financier élevé et une performance dégradée — soit les priorités naturelles d’un plan d’action.</w:t>
      </w:r>
    </w:p>
    <w:p>
      <w:pPr>
        <w:pStyle w:val="Heading1"/>
        <w:pageBreakBefore/>
        <w:spacing w:after="200" w:before="0"/>
      </w:pPr>
      <w:r>
        <w:rPr>
          <w:b/>
          <w:bCs/>
          <w:color w:val="1F3864"/>
          <w:sz w:val="32"/>
          <w:szCs w:val="32"/>
        </w:rPr>
        <w:t xml:space="preserve">13. Difficultés rencontrées et solutions apportées</w:t>
      </w:r>
    </w:p>
    <w:p>
      <w:pPr>
        <w:spacing w:after="120" w:line="276"/>
      </w:pPr>
      <w:r>
        <w:rPr>
          <w:sz w:val="22"/>
          <w:szCs w:val="22"/>
        </w:rPr>
        <w:t xml:space="preserve">Le projet a donné lieu à plusieurs incidents techniques dont la résolution constitue une part importante de l’apprentissage.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shd w:fill="D9E2F3" w:val="clear"/>
            <w:tcMar>
              <w:top w:type="dxa" w:w="80"/>
              <w:left w:type="dxa" w:w="110"/>
              <w:bottom w:type="dxa" w:w="80"/>
              <w:right w:type="dxa" w:w="110"/>
            </w:tcMar>
          </w:tcPr>
          <w:p>
            <w:pPr>
              <w:spacing w:after="0" w:line="240"/>
            </w:pPr>
            <w:r>
              <w:rPr>
                <w:b/>
                <w:bCs/>
                <w:sz w:val="19"/>
                <w:szCs w:val="19"/>
              </w:rPr>
              <w:t xml:space="preserve">Difficulté</w:t>
            </w:r>
          </w:p>
        </w:tc>
        <w:tc>
          <w:tcPr>
            <w:tcW w:type="dxa" w:w="3200"/>
            <w:shd w:fill="D9E2F3" w:val="clear"/>
            <w:tcMar>
              <w:top w:type="dxa" w:w="80"/>
              <w:left w:type="dxa" w:w="110"/>
              <w:bottom w:type="dxa" w:w="80"/>
              <w:right w:type="dxa" w:w="110"/>
            </w:tcMar>
          </w:tcPr>
          <w:p>
            <w:pPr>
              <w:spacing w:after="0" w:line="240"/>
            </w:pPr>
            <w:r>
              <w:rPr>
                <w:b/>
                <w:bCs/>
                <w:sz w:val="19"/>
                <w:szCs w:val="19"/>
              </w:rPr>
              <w:t xml:space="preserve">Cause identifiée</w:t>
            </w:r>
          </w:p>
        </w:tc>
        <w:tc>
          <w:tcPr>
            <w:tcW w:type="dxa" w:w="3426"/>
            <w:shd w:fill="D9E2F3" w:val="clear"/>
            <w:tcMar>
              <w:top w:type="dxa" w:w="80"/>
              <w:left w:type="dxa" w:w="110"/>
              <w:bottom w:type="dxa" w:w="80"/>
              <w:right w:type="dxa" w:w="110"/>
            </w:tcMar>
          </w:tcPr>
          <w:p>
            <w:pPr>
              <w:spacing w:after="0" w:line="240"/>
            </w:pPr>
            <w:r>
              <w:rPr>
                <w:b/>
                <w:bCs/>
                <w:sz w:val="19"/>
                <w:szCs w:val="19"/>
              </w:rPr>
              <w:t xml:space="preserve">Solution mise en œuvre</w:t>
            </w:r>
          </w:p>
        </w:tc>
      </w:tr>
      <w:tr>
        <w:trPr>
          <w:tblHeader w:val="false"/>
        </w:trPr>
        <w:tc>
          <w:tcPr>
            <w:tcW w:type="dxa" w:w="2400"/>
            <w:tcMar>
              <w:top w:type="dxa" w:w="80"/>
              <w:left w:type="dxa" w:w="110"/>
              <w:bottom w:type="dxa" w:w="80"/>
              <w:right w:type="dxa" w:w="110"/>
            </w:tcMar>
          </w:tcPr>
          <w:p>
            <w:pPr>
              <w:spacing w:after="0" w:line="240"/>
            </w:pPr>
            <w:r>
              <w:rPr>
                <w:b w:val="false"/>
                <w:bCs w:val="false"/>
                <w:sz w:val="19"/>
                <w:szCs w:val="19"/>
              </w:rPr>
              <w:t xml:space="preserve">Erreur NameError récurrente sur la variable df_bronze</w:t>
            </w:r>
          </w:p>
        </w:tc>
        <w:tc>
          <w:tcPr>
            <w:tcW w:type="dxa" w:w="3200"/>
            <w:tcMar>
              <w:top w:type="dxa" w:w="80"/>
              <w:left w:type="dxa" w:w="110"/>
              <w:bottom w:type="dxa" w:w="80"/>
              <w:right w:type="dxa" w:w="110"/>
            </w:tcMar>
          </w:tcPr>
          <w:p>
            <w:pPr>
              <w:spacing w:after="0" w:line="240"/>
            </w:pPr>
            <w:r>
              <w:rPr>
                <w:b w:val="false"/>
                <w:bCs w:val="false"/>
                <w:sz w:val="19"/>
                <w:szCs w:val="19"/>
              </w:rPr>
              <w:t xml:space="preserve">Expiration de la session Spark après une période d’inactivité ; les variables en mémoire sont perdues</w:t>
            </w:r>
          </w:p>
        </w:tc>
        <w:tc>
          <w:tcPr>
            <w:tcW w:type="dxa" w:w="3426"/>
            <w:tcMar>
              <w:top w:type="dxa" w:w="80"/>
              <w:left w:type="dxa" w:w="110"/>
              <w:bottom w:type="dxa" w:w="80"/>
              <w:right w:type="dxa" w:w="110"/>
            </w:tcMar>
          </w:tcPr>
          <w:p>
            <w:pPr>
              <w:spacing w:after="0" w:line="240"/>
            </w:pPr>
            <w:r>
              <w:rPr>
                <w:b w:val="false"/>
                <w:bCs w:val="false"/>
                <w:sz w:val="19"/>
                <w:szCs w:val="19"/>
              </w:rPr>
              <w:t xml:space="preserve">Placement d’une cellule de chargement en tête de notebook, à exécuter systématiquement en début de session ; les données restant persistées en table Delta, aucune perte réelle</w:t>
            </w:r>
          </w:p>
        </w:tc>
      </w:tr>
      <w:tr>
        <w:trPr>
          <w:tblHeader w:val="false"/>
        </w:trPr>
        <w:tc>
          <w:tcPr>
            <w:tcW w:type="dxa" w:w="2400"/>
            <w:tcMar>
              <w:top w:type="dxa" w:w="80"/>
              <w:left w:type="dxa" w:w="110"/>
              <w:bottom w:type="dxa" w:w="80"/>
              <w:right w:type="dxa" w:w="110"/>
            </w:tcMar>
          </w:tcPr>
          <w:p>
            <w:pPr>
              <w:spacing w:after="0" w:line="240"/>
            </w:pPr>
            <w:r>
              <w:rPr>
                <w:b w:val="false"/>
                <w:bCs w:val="false"/>
                <w:sz w:val="19"/>
                <w:szCs w:val="19"/>
              </w:rPr>
              <w:t xml:space="preserve">Douze colonnes numériques typées en chaîne de caractères</w:t>
            </w:r>
          </w:p>
        </w:tc>
        <w:tc>
          <w:tcPr>
            <w:tcW w:type="dxa" w:w="3200"/>
            <w:tcMar>
              <w:top w:type="dxa" w:w="80"/>
              <w:left w:type="dxa" w:w="110"/>
              <w:bottom w:type="dxa" w:w="80"/>
              <w:right w:type="dxa" w:w="110"/>
            </w:tcMar>
          </w:tcPr>
          <w:p>
            <w:pPr>
              <w:spacing w:after="0" w:line="240"/>
            </w:pPr>
            <w:r>
              <w:rPr>
                <w:b w:val="false"/>
                <w:bCs w:val="false"/>
                <w:sz w:val="19"/>
                <w:szCs w:val="19"/>
              </w:rPr>
              <w:t xml:space="preserve">Absence de typage strict en amont de la chaîne</w:t>
            </w:r>
          </w:p>
        </w:tc>
        <w:tc>
          <w:tcPr>
            <w:tcW w:type="dxa" w:w="3426"/>
            <w:tcMar>
              <w:top w:type="dxa" w:w="80"/>
              <w:left w:type="dxa" w:w="110"/>
              <w:bottom w:type="dxa" w:w="80"/>
              <w:right w:type="dxa" w:w="110"/>
            </w:tcMar>
          </w:tcPr>
          <w:p>
            <w:pPr>
              <w:spacing w:after="0" w:line="240"/>
            </w:pPr>
            <w:r>
              <w:rPr>
                <w:b w:val="false"/>
                <w:bCs w:val="false"/>
                <w:sz w:val="19"/>
                <w:szCs w:val="19"/>
              </w:rPr>
              <w:t xml:space="preserve">Transtypage explicite en double dans le notebook silver, avec validation du volume après conversion</w:t>
            </w:r>
          </w:p>
        </w:tc>
      </w:tr>
      <w:tr>
        <w:trPr>
          <w:tblHeader w:val="false"/>
        </w:trPr>
        <w:tc>
          <w:tcPr>
            <w:tcW w:type="dxa" w:w="2400"/>
            <w:tcMar>
              <w:top w:type="dxa" w:w="80"/>
              <w:left w:type="dxa" w:w="110"/>
              <w:bottom w:type="dxa" w:w="80"/>
              <w:right w:type="dxa" w:w="110"/>
            </w:tcMar>
          </w:tcPr>
          <w:p>
            <w:pPr>
              <w:spacing w:after="0" w:line="240"/>
            </w:pPr>
            <w:r>
              <w:rPr>
                <w:b w:val="false"/>
                <w:bCs w:val="false"/>
                <w:sz w:val="19"/>
                <w:szCs w:val="19"/>
              </w:rPr>
              <w:t xml:space="preserve">Présence d’un champ de mot de passe dans le flux analytique</w:t>
            </w:r>
          </w:p>
        </w:tc>
        <w:tc>
          <w:tcPr>
            <w:tcW w:type="dxa" w:w="3200"/>
            <w:tcMar>
              <w:top w:type="dxa" w:w="80"/>
              <w:left w:type="dxa" w:w="110"/>
              <w:bottom w:type="dxa" w:w="80"/>
              <w:right w:type="dxa" w:w="110"/>
            </w:tcMar>
          </w:tcPr>
          <w:p>
            <w:pPr>
              <w:spacing w:after="0" w:line="240"/>
            </w:pPr>
            <w:r>
              <w:rPr>
                <w:b w:val="false"/>
                <w:bCs w:val="false"/>
                <w:sz w:val="19"/>
                <w:szCs w:val="19"/>
              </w:rPr>
              <w:t xml:space="preserve">Reprise intégrale du schéma source sans filtrage</w:t>
            </w:r>
          </w:p>
        </w:tc>
        <w:tc>
          <w:tcPr>
            <w:tcW w:type="dxa" w:w="3426"/>
            <w:tcMar>
              <w:top w:type="dxa" w:w="80"/>
              <w:left w:type="dxa" w:w="110"/>
              <w:bottom w:type="dxa" w:w="80"/>
              <w:right w:type="dxa" w:w="110"/>
            </w:tcMar>
          </w:tcPr>
          <w:p>
            <w:pPr>
              <w:spacing w:after="0" w:line="240"/>
            </w:pPr>
            <w:r>
              <w:rPr>
                <w:b w:val="false"/>
                <w:bCs w:val="false"/>
                <w:sz w:val="19"/>
                <w:szCs w:val="19"/>
              </w:rPr>
              <w:t xml:space="preserve">Suppression de la colonne dès la couche silver ; identification de Customer_Email comme donnée personnelle à traiter en production</w:t>
            </w:r>
          </w:p>
        </w:tc>
      </w:tr>
      <w:tr>
        <w:trPr>
          <w:tblHeader w:val="false"/>
        </w:trPr>
        <w:tc>
          <w:tcPr>
            <w:tcW w:type="dxa" w:w="2400"/>
            <w:tcMar>
              <w:top w:type="dxa" w:w="80"/>
              <w:left w:type="dxa" w:w="110"/>
              <w:bottom w:type="dxa" w:w="80"/>
              <w:right w:type="dxa" w:w="110"/>
            </w:tcMar>
          </w:tcPr>
          <w:p>
            <w:pPr>
              <w:spacing w:after="0" w:line="240"/>
            </w:pPr>
            <w:r>
              <w:rPr>
                <w:b w:val="false"/>
                <w:bCs w:val="false"/>
                <w:sz w:val="19"/>
                <w:szCs w:val="19"/>
              </w:rPr>
              <w:t xml:space="preserve">Refus de création d’une inscription d’application (erreur 401)</w:t>
            </w:r>
          </w:p>
        </w:tc>
        <w:tc>
          <w:tcPr>
            <w:tcW w:type="dxa" w:w="3200"/>
            <w:tcMar>
              <w:top w:type="dxa" w:w="80"/>
              <w:left w:type="dxa" w:w="110"/>
              <w:bottom w:type="dxa" w:w="80"/>
              <w:right w:type="dxa" w:w="110"/>
            </w:tcMar>
          </w:tcPr>
          <w:p>
            <w:pPr>
              <w:spacing w:after="0" w:line="240"/>
            </w:pPr>
            <w:r>
              <w:rPr>
                <w:b w:val="false"/>
                <w:bCs w:val="false"/>
                <w:sz w:val="19"/>
                <w:szCs w:val="19"/>
              </w:rPr>
              <w:t xml:space="preserve">Stratégie de sécurité du locataire réservant cette action aux administrateurs</w:t>
            </w:r>
          </w:p>
        </w:tc>
        <w:tc>
          <w:tcPr>
            <w:tcW w:type="dxa" w:w="3426"/>
            <w:tcMar>
              <w:top w:type="dxa" w:w="80"/>
              <w:left w:type="dxa" w:w="110"/>
              <w:bottom w:type="dxa" w:w="80"/>
              <w:right w:type="dxa" w:w="110"/>
            </w:tcMar>
          </w:tcPr>
          <w:p>
            <w:pPr>
              <w:spacing w:after="0" w:line="240"/>
            </w:pPr>
            <w:r>
              <w:rPr>
                <w:b w:val="false"/>
                <w:bCs w:val="false"/>
                <w:sz w:val="19"/>
                <w:szCs w:val="19"/>
              </w:rPr>
              <w:t xml:space="preserve">Abandon de l’approche par principal de service au profit d’un pipeline natif Fabric, exécuté sous l’identité de l’utilisateur</w:t>
            </w:r>
          </w:p>
        </w:tc>
      </w:tr>
      <w:tr>
        <w:trPr>
          <w:tblHeader w:val="false"/>
        </w:trPr>
        <w:tc>
          <w:tcPr>
            <w:tcW w:type="dxa" w:w="2400"/>
            <w:tcMar>
              <w:top w:type="dxa" w:w="80"/>
              <w:left w:type="dxa" w:w="110"/>
              <w:bottom w:type="dxa" w:w="80"/>
              <w:right w:type="dxa" w:w="110"/>
            </w:tcMar>
          </w:tcPr>
          <w:p>
            <w:pPr>
              <w:spacing w:after="0" w:line="240"/>
            </w:pPr>
            <w:r>
              <w:rPr>
                <w:b w:val="false"/>
                <w:bCs w:val="false"/>
                <w:sz w:val="19"/>
                <w:szCs w:val="19"/>
              </w:rPr>
              <w:t xml:space="preserve">Mesure DAX affichant 0 au lieu de 43 %</w:t>
            </w:r>
          </w:p>
        </w:tc>
        <w:tc>
          <w:tcPr>
            <w:tcW w:type="dxa" w:w="3200"/>
            <w:tcMar>
              <w:top w:type="dxa" w:w="80"/>
              <w:left w:type="dxa" w:w="110"/>
              <w:bottom w:type="dxa" w:w="80"/>
              <w:right w:type="dxa" w:w="110"/>
            </w:tcMar>
          </w:tcPr>
          <w:p>
            <w:pPr>
              <w:spacing w:after="0" w:line="240"/>
            </w:pPr>
            <w:r>
              <w:rPr>
                <w:b w:val="false"/>
                <w:bCs w:val="false"/>
                <w:sz w:val="19"/>
                <w:szCs w:val="19"/>
              </w:rPr>
              <w:t xml:space="preserve">Format d’affichage entier appliqué à une valeur décimale (0,43)</w:t>
            </w:r>
          </w:p>
        </w:tc>
        <w:tc>
          <w:tcPr>
            <w:tcW w:type="dxa" w:w="3426"/>
            <w:tcMar>
              <w:top w:type="dxa" w:w="80"/>
              <w:left w:type="dxa" w:w="110"/>
              <w:bottom w:type="dxa" w:w="80"/>
              <w:right w:type="dxa" w:w="110"/>
            </w:tcMar>
          </w:tcPr>
          <w:p>
            <w:pPr>
              <w:spacing w:after="0" w:line="240"/>
            </w:pPr>
            <w:r>
              <w:rPr>
                <w:b w:val="false"/>
                <w:bCs w:val="false"/>
                <w:sz w:val="19"/>
                <w:szCs w:val="19"/>
              </w:rPr>
              <w:t xml:space="preserve">Application du format pourcentage à la mesure, corrigeant l’affichage sans modifier le calcul</w:t>
            </w:r>
          </w:p>
        </w:tc>
      </w:tr>
      <w:tr>
        <w:trPr>
          <w:tblHeader w:val="false"/>
        </w:trPr>
        <w:tc>
          <w:tcPr>
            <w:tcW w:type="dxa" w:w="2400"/>
            <w:tcMar>
              <w:top w:type="dxa" w:w="80"/>
              <w:left w:type="dxa" w:w="110"/>
              <w:bottom w:type="dxa" w:w="80"/>
              <w:right w:type="dxa" w:w="110"/>
            </w:tcMar>
          </w:tcPr>
          <w:p>
            <w:pPr>
              <w:spacing w:after="0" w:line="240"/>
            </w:pPr>
            <w:r>
              <w:rPr>
                <w:b w:val="false"/>
                <w:bCs w:val="false"/>
                <w:sz w:val="19"/>
                <w:szCs w:val="19"/>
              </w:rPr>
              <w:t xml:space="preserve">Absence d’entité fournisseur dans le jeu de données</w:t>
            </w:r>
          </w:p>
        </w:tc>
        <w:tc>
          <w:tcPr>
            <w:tcW w:type="dxa" w:w="3200"/>
            <w:tcMar>
              <w:top w:type="dxa" w:w="80"/>
              <w:left w:type="dxa" w:w="110"/>
              <w:bottom w:type="dxa" w:w="80"/>
              <w:right w:type="dxa" w:w="110"/>
            </w:tcMar>
          </w:tcPr>
          <w:p>
            <w:pPr>
              <w:spacing w:after="0" w:line="240"/>
            </w:pPr>
            <w:r>
              <w:rPr>
                <w:b w:val="false"/>
                <w:bCs w:val="false"/>
                <w:sz w:val="19"/>
                <w:szCs w:val="19"/>
              </w:rPr>
              <w:t xml:space="preserve">Le modèle théorique en étoile ne correspondait pas exactement aux données disponibles</w:t>
            </w:r>
          </w:p>
        </w:tc>
        <w:tc>
          <w:tcPr>
            <w:tcW w:type="dxa" w:w="3426"/>
            <w:tcMar>
              <w:top w:type="dxa" w:w="80"/>
              <w:left w:type="dxa" w:w="110"/>
              <w:bottom w:type="dxa" w:w="80"/>
              <w:right w:type="dxa" w:w="110"/>
            </w:tcMar>
          </w:tcPr>
          <w:p>
            <w:pPr>
              <w:spacing w:after="0" w:line="240"/>
            </w:pPr>
            <w:r>
              <w:rPr>
                <w:b w:val="false"/>
                <w:bCs w:val="false"/>
                <w:sz w:val="19"/>
                <w:szCs w:val="19"/>
              </w:rPr>
              <w:t xml:space="preserve">Utilisation du couple Department_Id / Department_Name comme approximation, décision documentée explicitement</w:t>
            </w:r>
          </w:p>
        </w:tc>
      </w:tr>
      <w:tr>
        <w:trPr>
          <w:tblHeader w:val="false"/>
        </w:trPr>
        <w:tc>
          <w:tcPr>
            <w:tcW w:type="dxa" w:w="2400"/>
            <w:tcMar>
              <w:top w:type="dxa" w:w="80"/>
              <w:left w:type="dxa" w:w="110"/>
              <w:bottom w:type="dxa" w:w="80"/>
              <w:right w:type="dxa" w:w="110"/>
            </w:tcMar>
          </w:tcPr>
          <w:p>
            <w:pPr>
              <w:spacing w:after="0" w:line="240"/>
            </w:pPr>
            <w:r>
              <w:rPr>
                <w:b w:val="false"/>
                <w:bCs w:val="false"/>
                <w:sz w:val="19"/>
                <w:szCs w:val="19"/>
              </w:rPr>
              <w:t xml:space="preserve">Vues SQL non sélectionnables en mode Direct Lake</w:t>
            </w:r>
          </w:p>
        </w:tc>
        <w:tc>
          <w:tcPr>
            <w:tcW w:type="dxa" w:w="3200"/>
            <w:tcMar>
              <w:top w:type="dxa" w:w="80"/>
              <w:left w:type="dxa" w:w="110"/>
              <w:bottom w:type="dxa" w:w="80"/>
              <w:right w:type="dxa" w:w="110"/>
            </w:tcMar>
          </w:tcPr>
          <w:p>
            <w:pPr>
              <w:spacing w:after="0" w:line="240"/>
            </w:pPr>
            <w:r>
              <w:rPr>
                <w:b w:val="false"/>
                <w:bCs w:val="false"/>
                <w:sz w:val="19"/>
                <w:szCs w:val="19"/>
              </w:rPr>
              <w:t xml:space="preserve">Limitation technique du mode Direct Lake sur OneLake</w:t>
            </w:r>
          </w:p>
        </w:tc>
        <w:tc>
          <w:tcPr>
            <w:tcW w:type="dxa" w:w="3426"/>
            <w:tcMar>
              <w:top w:type="dxa" w:w="80"/>
              <w:left w:type="dxa" w:w="110"/>
              <w:bottom w:type="dxa" w:w="80"/>
              <w:right w:type="dxa" w:w="110"/>
            </w:tcMar>
          </w:tcPr>
          <w:p>
            <w:pPr>
              <w:spacing w:after="0" w:line="240"/>
            </w:pPr>
            <w:r>
              <w:rPr>
                <w:b w:val="false"/>
                <w:bCs w:val="false"/>
                <w:sz w:val="19"/>
                <w:szCs w:val="19"/>
              </w:rPr>
              <w:t xml:space="preserve">Construction du modèle Power BI directement sur les tables Delta de la couche gold, avec calcul des indicateurs en mesures DAX</w:t>
            </w:r>
          </w:p>
        </w:tc>
      </w:tr>
    </w:tbl>
    <w:p>
      <w:pPr>
        <w:spacing w:after="120" w:line="276"/>
      </w:pPr>
      <w:r>
        <w:rPr>
          <w:sz w:val="22"/>
          <w:szCs w:val="22"/>
        </w:rPr>
        <w:t xml:space="preserve"/>
      </w:r>
    </w:p>
    <w:p>
      <w:pPr>
        <w:spacing w:after="120" w:line="276"/>
      </w:pPr>
      <w:r>
        <w:rPr>
          <w:sz w:val="22"/>
          <w:szCs w:val="22"/>
        </w:rPr>
        <w:t xml:space="preserve">Le blocage lié à l’inscription d’application mérite une mention particulière : il illustre une réalité fréquente des projets en entreprise, où la contrainte n’est pas technique mais organisationnelle. La capacité à identifier la nature réelle du blocage, puis à retenir une solution alternative architecturalement saine plutôt qu’un contournement fragile, constitue une compétence à part entière.</w:t>
      </w:r>
    </w:p>
    <w:p>
      <w:pPr>
        <w:pStyle w:val="Heading1"/>
        <w:pageBreakBefore/>
        <w:spacing w:after="200" w:before="0"/>
      </w:pPr>
      <w:r>
        <w:rPr>
          <w:b/>
          <w:bCs/>
          <w:color w:val="1F3864"/>
          <w:sz w:val="32"/>
          <w:szCs w:val="32"/>
        </w:rPr>
        <w:t xml:space="preserve">14. Compétences acquises</w:t>
      </w:r>
    </w:p>
    <w:p>
      <w:pPr>
        <w:spacing w:after="120" w:line="276"/>
      </w:pPr>
      <w:r>
        <w:rPr>
          <w:sz w:val="22"/>
          <w:szCs w:val="22"/>
        </w:rPr>
        <w:t xml:space="preserve">Ce projet a permis de consolider un ensemble de compétences réparties sur toute la chaîne de l’ingénierie des données.</w:t>
      </w:r>
    </w:p>
    <w:p>
      <w:pPr>
        <w:pStyle w:val="Heading2"/>
        <w:spacing w:after="140" w:before="280"/>
      </w:pPr>
      <w:r>
        <w:rPr>
          <w:b/>
          <w:bCs/>
          <w:color w:val="2E5496"/>
          <w:sz w:val="26"/>
          <w:szCs w:val="26"/>
        </w:rPr>
        <w:t xml:space="preserve">14.1 Compétences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2F3" w:val="clear"/>
            <w:tcMar>
              <w:top w:type="dxa" w:w="80"/>
              <w:left w:type="dxa" w:w="110"/>
              <w:bottom w:type="dxa" w:w="80"/>
              <w:right w:type="dxa" w:w="110"/>
            </w:tcMar>
          </w:tcPr>
          <w:p>
            <w:pPr>
              <w:spacing w:after="0" w:line="240"/>
            </w:pPr>
            <w:r>
              <w:rPr>
                <w:b/>
                <w:bCs/>
                <w:sz w:val="19"/>
                <w:szCs w:val="19"/>
              </w:rPr>
              <w:t xml:space="preserve">Domaine</w:t>
            </w:r>
          </w:p>
        </w:tc>
        <w:tc>
          <w:tcPr>
            <w:tcW w:type="dxa" w:w="6826"/>
            <w:shd w:fill="D9E2F3" w:val="clear"/>
            <w:tcMar>
              <w:top w:type="dxa" w:w="80"/>
              <w:left w:type="dxa" w:w="110"/>
              <w:bottom w:type="dxa" w:w="80"/>
              <w:right w:type="dxa" w:w="110"/>
            </w:tcMar>
          </w:tcPr>
          <w:p>
            <w:pPr>
              <w:spacing w:after="0" w:line="240"/>
            </w:pPr>
            <w:r>
              <w:rPr>
                <w:b/>
                <w:bCs/>
                <w:sz w:val="19"/>
                <w:szCs w:val="19"/>
              </w:rPr>
              <w:t xml:space="preserve">Compétences développées</w:t>
            </w:r>
          </w:p>
        </w:tc>
      </w:tr>
      <w:tr>
        <w:trPr>
          <w:tblHeader w:val="false"/>
        </w:trPr>
        <w:tc>
          <w:tcPr>
            <w:tcW w:type="dxa" w:w="2200"/>
            <w:tcMar>
              <w:top w:type="dxa" w:w="80"/>
              <w:left w:type="dxa" w:w="110"/>
              <w:bottom w:type="dxa" w:w="80"/>
              <w:right w:type="dxa" w:w="110"/>
            </w:tcMar>
          </w:tcPr>
          <w:p>
            <w:pPr>
              <w:spacing w:after="0" w:line="240"/>
            </w:pPr>
            <w:r>
              <w:rPr>
                <w:b w:val="false"/>
                <w:bCs w:val="false"/>
                <w:sz w:val="19"/>
                <w:szCs w:val="19"/>
              </w:rPr>
              <w:t xml:space="preserve">ETL traditionnel</w:t>
            </w:r>
          </w:p>
        </w:tc>
        <w:tc>
          <w:tcPr>
            <w:tcW w:type="dxa" w:w="6826"/>
            <w:tcMar>
              <w:top w:type="dxa" w:w="80"/>
              <w:left w:type="dxa" w:w="110"/>
              <w:bottom w:type="dxa" w:w="80"/>
              <w:right w:type="dxa" w:w="110"/>
            </w:tcMar>
          </w:tcPr>
          <w:p>
            <w:pPr>
              <w:spacing w:after="0" w:line="240"/>
            </w:pPr>
            <w:r>
              <w:rPr>
                <w:b w:val="false"/>
                <w:bCs w:val="false"/>
                <w:sz w:val="19"/>
                <w:szCs w:val="19"/>
              </w:rPr>
              <w:t xml:space="preserve">Conception d’un package SSIS ; extraction incrémentale par filigrane ; journalisation d’audit ; enchaînement de tâches par contraintes de précédence</w:t>
            </w:r>
          </w:p>
        </w:tc>
      </w:tr>
      <w:tr>
        <w:trPr>
          <w:tblHeader w:val="false"/>
        </w:trPr>
        <w:tc>
          <w:tcPr>
            <w:tcW w:type="dxa" w:w="2200"/>
            <w:tcMar>
              <w:top w:type="dxa" w:w="80"/>
              <w:left w:type="dxa" w:w="110"/>
              <w:bottom w:type="dxa" w:w="80"/>
              <w:right w:type="dxa" w:w="110"/>
            </w:tcMar>
          </w:tcPr>
          <w:p>
            <w:pPr>
              <w:spacing w:after="0" w:line="240"/>
            </w:pPr>
            <w:r>
              <w:rPr>
                <w:b w:val="false"/>
                <w:bCs w:val="false"/>
                <w:sz w:val="19"/>
                <w:szCs w:val="19"/>
              </w:rPr>
              <w:t xml:space="preserve">Intégration cloud</w:t>
            </w:r>
          </w:p>
        </w:tc>
        <w:tc>
          <w:tcPr>
            <w:tcW w:type="dxa" w:w="6826"/>
            <w:tcMar>
              <w:top w:type="dxa" w:w="80"/>
              <w:left w:type="dxa" w:w="110"/>
              <w:bottom w:type="dxa" w:w="80"/>
              <w:right w:type="dxa" w:w="110"/>
            </w:tcMar>
          </w:tcPr>
          <w:p>
            <w:pPr>
              <w:spacing w:after="0" w:line="240"/>
            </w:pPr>
            <w:r>
              <w:rPr>
                <w:b w:val="false"/>
                <w:bCs w:val="false"/>
                <w:sz w:val="19"/>
                <w:szCs w:val="19"/>
              </w:rPr>
              <w:t xml:space="preserve">Création de pipelines Azure Data Factory ; configuration de services liés et de jeux de données ; runtime d’intégration auto-hébergé pour source on-premise</w:t>
            </w:r>
          </w:p>
        </w:tc>
      </w:tr>
      <w:tr>
        <w:trPr>
          <w:tblHeader w:val="false"/>
        </w:trPr>
        <w:tc>
          <w:tcPr>
            <w:tcW w:type="dxa" w:w="2200"/>
            <w:tcMar>
              <w:top w:type="dxa" w:w="80"/>
              <w:left w:type="dxa" w:w="110"/>
              <w:bottom w:type="dxa" w:w="80"/>
              <w:right w:type="dxa" w:w="110"/>
            </w:tcMar>
          </w:tcPr>
          <w:p>
            <w:pPr>
              <w:spacing w:after="0" w:line="240"/>
            </w:pPr>
            <w:r>
              <w:rPr>
                <w:b w:val="false"/>
                <w:bCs w:val="false"/>
                <w:sz w:val="19"/>
                <w:szCs w:val="19"/>
              </w:rPr>
              <w:t xml:space="preserve">Stockage de données</w:t>
            </w:r>
          </w:p>
        </w:tc>
        <w:tc>
          <w:tcPr>
            <w:tcW w:type="dxa" w:w="6826"/>
            <w:tcMar>
              <w:top w:type="dxa" w:w="80"/>
              <w:left w:type="dxa" w:w="110"/>
              <w:bottom w:type="dxa" w:w="80"/>
              <w:right w:type="dxa" w:w="110"/>
            </w:tcMar>
          </w:tcPr>
          <w:p>
            <w:pPr>
              <w:spacing w:after="0" w:line="240"/>
            </w:pPr>
            <w:r>
              <w:rPr>
                <w:b w:val="false"/>
                <w:bCs w:val="false"/>
                <w:sz w:val="19"/>
                <w:szCs w:val="19"/>
              </w:rPr>
              <w:t xml:space="preserve">Azure Data Lake Storage Gen2 ; organisation en conteneurs ; format Parquet et compression en colonnes</w:t>
            </w:r>
          </w:p>
        </w:tc>
      </w:tr>
      <w:tr>
        <w:trPr>
          <w:tblHeader w:val="false"/>
        </w:trPr>
        <w:tc>
          <w:tcPr>
            <w:tcW w:type="dxa" w:w="2200"/>
            <w:tcMar>
              <w:top w:type="dxa" w:w="80"/>
              <w:left w:type="dxa" w:w="110"/>
              <w:bottom w:type="dxa" w:w="80"/>
              <w:right w:type="dxa" w:w="110"/>
            </w:tcMar>
          </w:tcPr>
          <w:p>
            <w:pPr>
              <w:spacing w:after="0" w:line="240"/>
            </w:pPr>
            <w:r>
              <w:rPr>
                <w:b w:val="false"/>
                <w:bCs w:val="false"/>
                <w:sz w:val="19"/>
                <w:szCs w:val="19"/>
              </w:rPr>
              <w:t xml:space="preserve">Traitement distribué</w:t>
            </w:r>
          </w:p>
        </w:tc>
        <w:tc>
          <w:tcPr>
            <w:tcW w:type="dxa" w:w="6826"/>
            <w:tcMar>
              <w:top w:type="dxa" w:w="80"/>
              <w:left w:type="dxa" w:w="110"/>
              <w:bottom w:type="dxa" w:w="80"/>
              <w:right w:type="dxa" w:w="110"/>
            </w:tcMar>
          </w:tcPr>
          <w:p>
            <w:pPr>
              <w:spacing w:after="0" w:line="240"/>
            </w:pPr>
            <w:r>
              <w:rPr>
                <w:b w:val="false"/>
                <w:bCs w:val="false"/>
                <w:sz w:val="19"/>
                <w:szCs w:val="19"/>
              </w:rPr>
              <w:t xml:space="preserve">PySpark : lecture Parquet, profilage de schéma, transtypage, dédoublonnage, agrégations, jointures anti-gauche</w:t>
            </w:r>
          </w:p>
        </w:tc>
      </w:tr>
      <w:tr>
        <w:trPr>
          <w:tblHeader w:val="false"/>
        </w:trPr>
        <w:tc>
          <w:tcPr>
            <w:tcW w:type="dxa" w:w="2200"/>
            <w:tcMar>
              <w:top w:type="dxa" w:w="80"/>
              <w:left w:type="dxa" w:w="110"/>
              <w:bottom w:type="dxa" w:w="80"/>
              <w:right w:type="dxa" w:w="110"/>
            </w:tcMar>
          </w:tcPr>
          <w:p>
            <w:pPr>
              <w:spacing w:after="0" w:line="240"/>
            </w:pPr>
            <w:r>
              <w:rPr>
                <w:b w:val="false"/>
                <w:bCs w:val="false"/>
                <w:sz w:val="19"/>
                <w:szCs w:val="19"/>
              </w:rPr>
              <w:t xml:space="preserve">Delta Lake</w:t>
            </w:r>
          </w:p>
        </w:tc>
        <w:tc>
          <w:tcPr>
            <w:tcW w:type="dxa" w:w="6826"/>
            <w:tcMar>
              <w:top w:type="dxa" w:w="80"/>
              <w:left w:type="dxa" w:w="110"/>
              <w:bottom w:type="dxa" w:w="80"/>
              <w:right w:type="dxa" w:w="110"/>
            </w:tcMar>
          </w:tcPr>
          <w:p>
            <w:pPr>
              <w:spacing w:after="0" w:line="240"/>
            </w:pPr>
            <w:r>
              <w:rPr>
                <w:b w:val="false"/>
                <w:bCs w:val="false"/>
                <w:sz w:val="19"/>
                <w:szCs w:val="19"/>
              </w:rPr>
              <w:t xml:space="preserve">Écriture de tables Delta gérées ; compréhension des garanties ACID et de la persistance hors session</w:t>
            </w:r>
          </w:p>
        </w:tc>
      </w:tr>
      <w:tr>
        <w:trPr>
          <w:tblHeader w:val="false"/>
        </w:trPr>
        <w:tc>
          <w:tcPr>
            <w:tcW w:type="dxa" w:w="2200"/>
            <w:tcMar>
              <w:top w:type="dxa" w:w="80"/>
              <w:left w:type="dxa" w:w="110"/>
              <w:bottom w:type="dxa" w:w="80"/>
              <w:right w:type="dxa" w:w="110"/>
            </w:tcMar>
          </w:tcPr>
          <w:p>
            <w:pPr>
              <w:spacing w:after="0" w:line="240"/>
            </w:pPr>
            <w:r>
              <w:rPr>
                <w:b w:val="false"/>
                <w:bCs w:val="false"/>
                <w:sz w:val="19"/>
                <w:szCs w:val="19"/>
              </w:rPr>
              <w:t xml:space="preserve">Architecture de données</w:t>
            </w:r>
          </w:p>
        </w:tc>
        <w:tc>
          <w:tcPr>
            <w:tcW w:type="dxa" w:w="6826"/>
            <w:tcMar>
              <w:top w:type="dxa" w:w="80"/>
              <w:left w:type="dxa" w:w="110"/>
              <w:bottom w:type="dxa" w:w="80"/>
              <w:right w:type="dxa" w:w="110"/>
            </w:tcMar>
          </w:tcPr>
          <w:p>
            <w:pPr>
              <w:spacing w:after="0" w:line="240"/>
            </w:pPr>
            <w:r>
              <w:rPr>
                <w:b w:val="false"/>
                <w:bCs w:val="false"/>
                <w:sz w:val="19"/>
                <w:szCs w:val="19"/>
              </w:rPr>
              <w:t xml:space="preserve">Mise en œuvre concrète de l’architecture Medallion ; virtualisation par raccourcis OneLake ; distinction entre lecture fédérée et matérialisation</w:t>
            </w:r>
          </w:p>
        </w:tc>
      </w:tr>
      <w:tr>
        <w:trPr>
          <w:tblHeader w:val="false"/>
        </w:trPr>
        <w:tc>
          <w:tcPr>
            <w:tcW w:type="dxa" w:w="2200"/>
            <w:tcMar>
              <w:top w:type="dxa" w:w="80"/>
              <w:left w:type="dxa" w:w="110"/>
              <w:bottom w:type="dxa" w:w="80"/>
              <w:right w:type="dxa" w:w="110"/>
            </w:tcMar>
          </w:tcPr>
          <w:p>
            <w:pPr>
              <w:spacing w:after="0" w:line="240"/>
            </w:pPr>
            <w:r>
              <w:rPr>
                <w:b w:val="false"/>
                <w:bCs w:val="false"/>
                <w:sz w:val="19"/>
                <w:szCs w:val="19"/>
              </w:rPr>
              <w:t xml:space="preserve">Modélisation dimensionnelle</w:t>
            </w:r>
          </w:p>
        </w:tc>
        <w:tc>
          <w:tcPr>
            <w:tcW w:type="dxa" w:w="6826"/>
            <w:tcMar>
              <w:top w:type="dxa" w:w="80"/>
              <w:left w:type="dxa" w:w="110"/>
              <w:bottom w:type="dxa" w:w="80"/>
              <w:right w:type="dxa" w:w="110"/>
            </w:tcMar>
          </w:tcPr>
          <w:p>
            <w:pPr>
              <w:spacing w:after="0" w:line="240"/>
            </w:pPr>
            <w:r>
              <w:rPr>
                <w:b w:val="false"/>
                <w:bCs w:val="false"/>
                <w:sz w:val="19"/>
                <w:szCs w:val="19"/>
              </w:rPr>
              <w:t xml:space="preserve">Construction d’un schéma en étoile ; dimensions de conformité ; génération d’une dimension calendaire continue ; calcul d’indicateurs dérivés</w:t>
            </w:r>
          </w:p>
        </w:tc>
      </w:tr>
      <w:tr>
        <w:trPr>
          <w:tblHeader w:val="false"/>
        </w:trPr>
        <w:tc>
          <w:tcPr>
            <w:tcW w:type="dxa" w:w="2200"/>
            <w:tcMar>
              <w:top w:type="dxa" w:w="80"/>
              <w:left w:type="dxa" w:w="110"/>
              <w:bottom w:type="dxa" w:w="80"/>
              <w:right w:type="dxa" w:w="110"/>
            </w:tcMar>
          </w:tcPr>
          <w:p>
            <w:pPr>
              <w:spacing w:after="0" w:line="240"/>
            </w:pPr>
            <w:r>
              <w:rPr>
                <w:b w:val="false"/>
                <w:bCs w:val="false"/>
                <w:sz w:val="19"/>
                <w:szCs w:val="19"/>
              </w:rPr>
              <w:t xml:space="preserve">SQL analytique</w:t>
            </w:r>
          </w:p>
        </w:tc>
        <w:tc>
          <w:tcPr>
            <w:tcW w:type="dxa" w:w="6826"/>
            <w:tcMar>
              <w:top w:type="dxa" w:w="80"/>
              <w:left w:type="dxa" w:w="110"/>
              <w:bottom w:type="dxa" w:w="80"/>
              <w:right w:type="dxa" w:w="110"/>
            </w:tcMar>
          </w:tcPr>
          <w:p>
            <w:pPr>
              <w:spacing w:after="0" w:line="240"/>
            </w:pPr>
            <w:r>
              <w:rPr>
                <w:b w:val="false"/>
                <w:bCs w:val="false"/>
                <w:sz w:val="19"/>
                <w:szCs w:val="19"/>
              </w:rPr>
              <w:t xml:space="preserve">T-SQL ; requêtes inter-bases dans Fabric ; création de vues agrégées ; requêtes de validation par UNION ALL</w:t>
            </w:r>
          </w:p>
        </w:tc>
      </w:tr>
      <w:tr>
        <w:trPr>
          <w:tblHeader w:val="false"/>
        </w:trPr>
        <w:tc>
          <w:tcPr>
            <w:tcW w:type="dxa" w:w="2200"/>
            <w:tcMar>
              <w:top w:type="dxa" w:w="80"/>
              <w:left w:type="dxa" w:w="110"/>
              <w:bottom w:type="dxa" w:w="80"/>
              <w:right w:type="dxa" w:w="110"/>
            </w:tcMar>
          </w:tcPr>
          <w:p>
            <w:pPr>
              <w:spacing w:after="0" w:line="240"/>
            </w:pPr>
            <w:r>
              <w:rPr>
                <w:b w:val="false"/>
                <w:bCs w:val="false"/>
                <w:sz w:val="19"/>
                <w:szCs w:val="19"/>
              </w:rPr>
              <w:t xml:space="preserve">Qualité des données</w:t>
            </w:r>
          </w:p>
        </w:tc>
        <w:tc>
          <w:tcPr>
            <w:tcW w:type="dxa" w:w="6826"/>
            <w:tcMar>
              <w:top w:type="dxa" w:w="80"/>
              <w:left w:type="dxa" w:w="110"/>
              <w:bottom w:type="dxa" w:w="80"/>
              <w:right w:type="dxa" w:w="110"/>
            </w:tcMar>
          </w:tcPr>
          <w:p>
            <w:pPr>
              <w:spacing w:after="0" w:line="240"/>
            </w:pPr>
            <w:r>
              <w:rPr>
                <w:b w:val="false"/>
                <w:bCs w:val="false"/>
                <w:sz w:val="19"/>
                <w:szCs w:val="19"/>
              </w:rPr>
              <w:t xml:space="preserve">Conception de contrôles automatisés ; distinction entre contrôle bloquant et avertissement ; validation d’intégrité référentielle</w:t>
            </w:r>
          </w:p>
        </w:tc>
      </w:tr>
      <w:tr>
        <w:trPr>
          <w:tblHeader w:val="false"/>
        </w:trPr>
        <w:tc>
          <w:tcPr>
            <w:tcW w:type="dxa" w:w="2200"/>
            <w:tcMar>
              <w:top w:type="dxa" w:w="80"/>
              <w:left w:type="dxa" w:w="110"/>
              <w:bottom w:type="dxa" w:w="80"/>
              <w:right w:type="dxa" w:w="110"/>
            </w:tcMar>
          </w:tcPr>
          <w:p>
            <w:pPr>
              <w:spacing w:after="0" w:line="240"/>
            </w:pPr>
            <w:r>
              <w:rPr>
                <w:b w:val="false"/>
                <w:bCs w:val="false"/>
                <w:sz w:val="19"/>
                <w:szCs w:val="19"/>
              </w:rPr>
              <w:t xml:space="preserve">Orchestration</w:t>
            </w:r>
          </w:p>
        </w:tc>
        <w:tc>
          <w:tcPr>
            <w:tcW w:type="dxa" w:w="6826"/>
            <w:tcMar>
              <w:top w:type="dxa" w:w="80"/>
              <w:left w:type="dxa" w:w="110"/>
              <w:bottom w:type="dxa" w:w="80"/>
              <w:right w:type="dxa" w:w="110"/>
            </w:tcMar>
          </w:tcPr>
          <w:p>
            <w:pPr>
              <w:spacing w:after="0" w:line="240"/>
            </w:pPr>
            <w:r>
              <w:rPr>
                <w:b w:val="false"/>
                <w:bCs w:val="false"/>
                <w:sz w:val="19"/>
                <w:szCs w:val="19"/>
              </w:rPr>
              <w:t xml:space="preserve">Pipelines Fabric ; dépendances conditionnelles entre activités ; supervision des exécutions</w:t>
            </w:r>
          </w:p>
        </w:tc>
      </w:tr>
      <w:tr>
        <w:trPr>
          <w:tblHeader w:val="false"/>
        </w:trPr>
        <w:tc>
          <w:tcPr>
            <w:tcW w:type="dxa" w:w="2200"/>
            <w:tcMar>
              <w:top w:type="dxa" w:w="80"/>
              <w:left w:type="dxa" w:w="110"/>
              <w:bottom w:type="dxa" w:w="80"/>
              <w:right w:type="dxa" w:w="110"/>
            </w:tcMar>
          </w:tcPr>
          <w:p>
            <w:pPr>
              <w:spacing w:after="0" w:line="240"/>
            </w:pPr>
            <w:r>
              <w:rPr>
                <w:b w:val="false"/>
                <w:bCs w:val="false"/>
                <w:sz w:val="19"/>
                <w:szCs w:val="19"/>
              </w:rPr>
              <w:t xml:space="preserve">Restitution</w:t>
            </w:r>
          </w:p>
        </w:tc>
        <w:tc>
          <w:tcPr>
            <w:tcW w:type="dxa" w:w="6826"/>
            <w:tcMar>
              <w:top w:type="dxa" w:w="80"/>
              <w:left w:type="dxa" w:w="110"/>
              <w:bottom w:type="dxa" w:w="80"/>
              <w:right w:type="dxa" w:w="110"/>
            </w:tcMar>
          </w:tcPr>
          <w:p>
            <w:pPr>
              <w:spacing w:after="0" w:line="240"/>
            </w:pPr>
            <w:r>
              <w:rPr>
                <w:b w:val="false"/>
                <w:bCs w:val="false"/>
                <w:sz w:val="19"/>
                <w:szCs w:val="19"/>
              </w:rPr>
              <w:t xml:space="preserve">Power BI : DirectQuery, relations et cardinalités, mesures DAX, choix et paramétrage des visuels, mise en forme conditionnelle</w:t>
            </w:r>
          </w:p>
        </w:tc>
      </w:tr>
      <w:tr>
        <w:trPr>
          <w:tblHeader w:val="false"/>
        </w:trPr>
        <w:tc>
          <w:tcPr>
            <w:tcW w:type="dxa" w:w="2200"/>
            <w:tcMar>
              <w:top w:type="dxa" w:w="80"/>
              <w:left w:type="dxa" w:w="110"/>
              <w:bottom w:type="dxa" w:w="80"/>
              <w:right w:type="dxa" w:w="110"/>
            </w:tcMar>
          </w:tcPr>
          <w:p>
            <w:pPr>
              <w:spacing w:after="0" w:line="240"/>
            </w:pPr>
            <w:r>
              <w:rPr>
                <w:b w:val="false"/>
                <w:bCs w:val="false"/>
                <w:sz w:val="19"/>
                <w:szCs w:val="19"/>
              </w:rPr>
              <w:t xml:space="preserve">Conformité</w:t>
            </w:r>
          </w:p>
        </w:tc>
        <w:tc>
          <w:tcPr>
            <w:tcW w:type="dxa" w:w="6826"/>
            <w:tcMar>
              <w:top w:type="dxa" w:w="80"/>
              <w:left w:type="dxa" w:w="110"/>
              <w:bottom w:type="dxa" w:w="80"/>
              <w:right w:type="dxa" w:w="110"/>
            </w:tcMar>
          </w:tcPr>
          <w:p>
            <w:pPr>
              <w:spacing w:after="0" w:line="240"/>
            </w:pPr>
            <w:r>
              <w:rPr>
                <w:b w:val="false"/>
                <w:bCs w:val="false"/>
                <w:sz w:val="19"/>
                <w:szCs w:val="19"/>
              </w:rPr>
              <w:t xml:space="preserve">Identification des données personnelles ; principe de minimisation ; suppression raisonnée de colonnes sensibles</w:t>
            </w:r>
          </w:p>
        </w:tc>
      </w:tr>
    </w:tbl>
    <w:p>
      <w:pPr>
        <w:spacing w:after="120" w:line="276"/>
      </w:pPr>
      <w:r>
        <w:rPr>
          <w:sz w:val="22"/>
          <w:szCs w:val="22"/>
        </w:rPr>
        <w:t xml:space="preserve"/>
      </w:r>
    </w:p>
    <w:p>
      <w:pPr>
        <w:pStyle w:val="Heading2"/>
        <w:spacing w:after="140" w:before="280"/>
      </w:pPr>
      <w:r>
        <w:rPr>
          <w:b/>
          <w:bCs/>
          <w:color w:val="2E5496"/>
          <w:sz w:val="26"/>
          <w:szCs w:val="26"/>
        </w:rPr>
        <w:t xml:space="preserve">14.2 Compétences transversales</w:t>
      </w:r>
    </w:p>
    <w:p>
      <w:pPr>
        <w:pStyle w:val="ListParagraph"/>
        <w:numPr>
          <w:ilvl w:val="0"/>
          <w:numId w:val="2"/>
        </w:numPr>
        <w:spacing w:after="80" w:line="276"/>
      </w:pPr>
      <w:r>
        <w:rPr>
          <w:sz w:val="22"/>
          <w:szCs w:val="22"/>
        </w:rPr>
        <w:t xml:space="preserve">Diagnostic méthodique — distinguer une erreur de calcul d’un problème d’affichage, une limite technique d’une restriction de droits.</w:t>
      </w:r>
    </w:p>
    <w:p>
      <w:pPr>
        <w:pStyle w:val="ListParagraph"/>
        <w:numPr>
          <w:ilvl w:val="0"/>
          <w:numId w:val="2"/>
        </w:numPr>
        <w:spacing w:after="80" w:line="276"/>
      </w:pPr>
      <w:r>
        <w:rPr>
          <w:sz w:val="22"/>
          <w:szCs w:val="22"/>
        </w:rPr>
        <w:t xml:space="preserve">Adaptation du plan initial — savoir renoncer à une approche bloquée pour une alternative équivalente, sans dégrader la qualité de la solution.</w:t>
      </w:r>
    </w:p>
    <w:p>
      <w:pPr>
        <w:pStyle w:val="ListParagraph"/>
        <w:numPr>
          <w:ilvl w:val="0"/>
          <w:numId w:val="2"/>
        </w:numPr>
        <w:spacing w:after="80" w:line="276"/>
      </w:pPr>
      <w:r>
        <w:rPr>
          <w:sz w:val="22"/>
          <w:szCs w:val="22"/>
        </w:rPr>
        <w:t xml:space="preserve">Documentation des décisions — expliciter les écarts au plan théorique plutôt que les masquer, afin de rendre la solution compréhensible et reprenable.</w:t>
      </w:r>
    </w:p>
    <w:p>
      <w:pPr>
        <w:pStyle w:val="ListParagraph"/>
        <w:numPr>
          <w:ilvl w:val="0"/>
          <w:numId w:val="2"/>
        </w:numPr>
        <w:spacing w:after="80" w:line="276"/>
      </w:pPr>
      <w:r>
        <w:rPr>
          <w:sz w:val="22"/>
          <w:szCs w:val="22"/>
        </w:rPr>
        <w:t xml:space="preserve">Validation systématique — vérifier les volumes à chaque étape plutôt que faire confiance au bon déroulement apparent des traitements.</w:t>
      </w:r>
    </w:p>
    <w:p>
      <w:pPr>
        <w:pStyle w:val="Heading1"/>
        <w:pageBreakBefore/>
        <w:spacing w:after="200" w:before="0"/>
      </w:pPr>
      <w:r>
        <w:rPr>
          <w:b/>
          <w:bCs/>
          <w:color w:val="1F3864"/>
          <w:sz w:val="32"/>
          <w:szCs w:val="32"/>
        </w:rPr>
        <w:t xml:space="preserve">15. Perspectives d’évolution</w:t>
      </w:r>
    </w:p>
    <w:p>
      <w:pPr>
        <w:spacing w:after="120" w:line="276"/>
      </w:pPr>
      <w:r>
        <w:rPr>
          <w:sz w:val="22"/>
          <w:szCs w:val="22"/>
        </w:rPr>
        <w:t xml:space="preserve">Plusieurs axes permettraient d’enrichir la solution dans une perspective de mise en production.</w:t>
      </w:r>
    </w:p>
    <w:p>
      <w:pPr>
        <w:pStyle w:val="Heading2"/>
        <w:spacing w:after="140" w:before="280"/>
      </w:pPr>
      <w:r>
        <w:rPr>
          <w:b/>
          <w:bCs/>
          <w:color w:val="2E5496"/>
          <w:sz w:val="26"/>
          <w:szCs w:val="26"/>
        </w:rPr>
        <w:t xml:space="preserve">15.1 Automatisation complète</w:t>
      </w:r>
    </w:p>
    <w:p>
      <w:pPr>
        <w:pStyle w:val="ListParagraph"/>
        <w:numPr>
          <w:ilvl w:val="0"/>
          <w:numId w:val="2"/>
        </w:numPr>
        <w:spacing w:after="80" w:line="276"/>
      </w:pPr>
      <w:r>
        <w:rPr>
          <w:sz w:val="22"/>
          <w:szCs w:val="22"/>
        </w:rPr>
        <w:t xml:space="preserve">Planification du pipeline Fabric par déclencheur programmé (exécution quotidienne ou horaire).</w:t>
      </w:r>
    </w:p>
    <w:p>
      <w:pPr>
        <w:pStyle w:val="ListParagraph"/>
        <w:numPr>
          <w:ilvl w:val="0"/>
          <w:numId w:val="2"/>
        </w:numPr>
        <w:spacing w:after="80" w:line="276"/>
      </w:pPr>
      <w:r>
        <w:rPr>
          <w:sz w:val="22"/>
          <w:szCs w:val="22"/>
        </w:rPr>
        <w:t xml:space="preserve">Chaînage du pipeline ADF et du pipeline Fabric en une exécution unique, au moyen de l’activité Azure Data Factory disponible nativement dans les pipelines Fabric — ce qui contourne la contrainte de principal de service.</w:t>
      </w:r>
    </w:p>
    <w:p>
      <w:pPr>
        <w:pStyle w:val="ListParagraph"/>
        <w:numPr>
          <w:ilvl w:val="0"/>
          <w:numId w:val="2"/>
        </w:numPr>
        <w:spacing w:after="80" w:line="276"/>
      </w:pPr>
      <w:r>
        <w:rPr>
          <w:sz w:val="22"/>
          <w:szCs w:val="22"/>
        </w:rPr>
        <w:t xml:space="preserve">Mise en place d’alertes par courriel en cas d’échec d’une exécution.</w:t>
      </w:r>
    </w:p>
    <w:p>
      <w:pPr>
        <w:pStyle w:val="Heading2"/>
        <w:spacing w:after="140" w:before="280"/>
      </w:pPr>
      <w:r>
        <w:rPr>
          <w:b/>
          <w:bCs/>
          <w:color w:val="2E5496"/>
          <w:sz w:val="26"/>
          <w:szCs w:val="26"/>
        </w:rPr>
        <w:t xml:space="preserve">15.2 Renforcement de la qualité</w:t>
      </w:r>
    </w:p>
    <w:p>
      <w:pPr>
        <w:pStyle w:val="ListParagraph"/>
        <w:numPr>
          <w:ilvl w:val="0"/>
          <w:numId w:val="2"/>
        </w:numPr>
        <w:spacing w:after="80" w:line="276"/>
      </w:pPr>
      <w:r>
        <w:rPr>
          <w:sz w:val="22"/>
          <w:szCs w:val="22"/>
        </w:rPr>
        <w:t xml:space="preserve">Matérialisation d’une table dq_errors journalisant chaque anomalie détectée, avec horodatage et sévérité, afin de suivre l’évolution de la qualité dans le temps.</w:t>
      </w:r>
    </w:p>
    <w:p>
      <w:pPr>
        <w:pStyle w:val="ListParagraph"/>
        <w:numPr>
          <w:ilvl w:val="0"/>
          <w:numId w:val="2"/>
        </w:numPr>
        <w:spacing w:after="80" w:line="276"/>
      </w:pPr>
      <w:r>
        <w:rPr>
          <w:sz w:val="22"/>
          <w:szCs w:val="22"/>
        </w:rPr>
        <w:t xml:space="preserve">Ajout de contrôles de fraîcheur des données (vérifier que la donnée la plus récente ne dépasse pas un seuil d’ancienneté).</w:t>
      </w:r>
    </w:p>
    <w:p>
      <w:pPr>
        <w:pStyle w:val="ListParagraph"/>
        <w:numPr>
          <w:ilvl w:val="0"/>
          <w:numId w:val="2"/>
        </w:numPr>
        <w:spacing w:after="80" w:line="276"/>
      </w:pPr>
      <w:r>
        <w:rPr>
          <w:sz w:val="22"/>
          <w:szCs w:val="22"/>
        </w:rPr>
        <w:t xml:space="preserve">Tests de non-régression sur les volumes entre deux exécutions successives.</w:t>
      </w:r>
    </w:p>
    <w:p>
      <w:pPr>
        <w:pStyle w:val="Heading2"/>
        <w:spacing w:after="140" w:before="280"/>
      </w:pPr>
      <w:r>
        <w:rPr>
          <w:b/>
          <w:bCs/>
          <w:color w:val="2E5496"/>
          <w:sz w:val="26"/>
          <w:szCs w:val="26"/>
        </w:rPr>
        <w:t xml:space="preserve">15.3 Gouvernance et sécurité</w:t>
      </w:r>
    </w:p>
    <w:p>
      <w:pPr>
        <w:pStyle w:val="ListParagraph"/>
        <w:numPr>
          <w:ilvl w:val="0"/>
          <w:numId w:val="2"/>
        </w:numPr>
        <w:spacing w:after="80" w:line="276"/>
      </w:pPr>
      <w:r>
        <w:rPr>
          <w:sz w:val="22"/>
          <w:szCs w:val="22"/>
        </w:rPr>
        <w:t xml:space="preserve">Masquage ou hachage de la colonne Customer_Email.</w:t>
      </w:r>
    </w:p>
    <w:p>
      <w:pPr>
        <w:pStyle w:val="ListParagraph"/>
        <w:numPr>
          <w:ilvl w:val="0"/>
          <w:numId w:val="2"/>
        </w:numPr>
        <w:spacing w:after="80" w:line="276"/>
      </w:pPr>
      <w:r>
        <w:rPr>
          <w:sz w:val="22"/>
          <w:szCs w:val="22"/>
        </w:rPr>
        <w:t xml:space="preserve">Mise en place d’une sécurité au niveau des lignes dans Power BI, par exemple pour restreindre chaque responsable régional à son propre périmètre.</w:t>
      </w:r>
    </w:p>
    <w:p>
      <w:pPr>
        <w:pStyle w:val="ListParagraph"/>
        <w:numPr>
          <w:ilvl w:val="0"/>
          <w:numId w:val="2"/>
        </w:numPr>
        <w:spacing w:after="80" w:line="276"/>
      </w:pPr>
      <w:r>
        <w:rPr>
          <w:sz w:val="22"/>
          <w:szCs w:val="22"/>
        </w:rPr>
        <w:t xml:space="preserve">Documentation du lignage des données dans un catalogue.</w:t>
      </w:r>
    </w:p>
    <w:p>
      <w:pPr>
        <w:pStyle w:val="Heading2"/>
        <w:spacing w:after="140" w:before="280"/>
      </w:pPr>
      <w:r>
        <w:rPr>
          <w:b/>
          <w:bCs/>
          <w:color w:val="2E5496"/>
          <w:sz w:val="26"/>
          <w:szCs w:val="26"/>
        </w:rPr>
        <w:t xml:space="preserve">15.4 Enrichissement analytique</w:t>
      </w:r>
    </w:p>
    <w:p>
      <w:pPr>
        <w:pStyle w:val="ListParagraph"/>
        <w:numPr>
          <w:ilvl w:val="0"/>
          <w:numId w:val="2"/>
        </w:numPr>
        <w:spacing w:after="80" w:line="276"/>
      </w:pPr>
      <w:r>
        <w:rPr>
          <w:sz w:val="22"/>
          <w:szCs w:val="22"/>
        </w:rPr>
        <w:t xml:space="preserve">Ajout de dimensions complémentaires : client, produit, mode d’expédition.</w:t>
      </w:r>
    </w:p>
    <w:p>
      <w:pPr>
        <w:pStyle w:val="ListParagraph"/>
        <w:numPr>
          <w:ilvl w:val="0"/>
          <w:numId w:val="2"/>
        </w:numPr>
        <w:spacing w:after="80" w:line="276"/>
      </w:pPr>
      <w:r>
        <w:rPr>
          <w:sz w:val="22"/>
          <w:szCs w:val="22"/>
        </w:rPr>
        <w:t xml:space="preserve">Historisation en dimension à évolution lente (SCD de type 2) pour conserver l’historique des changements d’attributs.</w:t>
      </w:r>
    </w:p>
    <w:p>
      <w:pPr>
        <w:pStyle w:val="ListParagraph"/>
        <w:numPr>
          <w:ilvl w:val="0"/>
          <w:numId w:val="2"/>
        </w:numPr>
        <w:spacing w:after="80" w:line="276"/>
      </w:pPr>
      <w:r>
        <w:rPr>
          <w:sz w:val="22"/>
          <w:szCs w:val="22"/>
        </w:rPr>
        <w:t xml:space="preserve">Calcul d’indicateurs de tendance : évolution en glissement annuel, moyenne mobile du taux de service.</w:t>
      </w:r>
    </w:p>
    <w:p>
      <w:pPr>
        <w:pStyle w:val="Heading1"/>
        <w:pageBreakBefore/>
        <w:spacing w:after="200" w:before="0"/>
      </w:pPr>
      <w:r>
        <w:rPr>
          <w:b/>
          <w:bCs/>
          <w:color w:val="1F3864"/>
          <w:sz w:val="32"/>
          <w:szCs w:val="32"/>
        </w:rPr>
        <w:t xml:space="preserve">16. Conclusion</w:t>
      </w:r>
    </w:p>
    <w:p>
      <w:pPr>
        <w:spacing w:after="120" w:line="276"/>
      </w:pPr>
      <w:r>
        <w:rPr>
          <w:sz w:val="22"/>
          <w:szCs w:val="22"/>
        </w:rPr>
        <w:t xml:space="preserve">Le projet est mené à son terme : les sept phases prévues ont été réalisées, validées et documentées. Le pipeline fonctionne de bout en bout, depuis la base SQL Server jusqu’au tableau de bord Power BI, avec une intégrité des données vérifiée à chaque couche — 180 519 lignes en entrée, 180 519 lignes en sortie, sans perte ni duplication.</w:t>
      </w:r>
    </w:p>
    <w:p>
      <w:pPr>
        <w:spacing w:after="120" w:line="276"/>
      </w:pPr>
      <w:r>
        <w:rPr>
          <w:sz w:val="22"/>
          <w:szCs w:val="22"/>
        </w:rPr>
        <w:t xml:space="preserve">Au-delà du résultat technique, ce projet a permis de traverser l’ensemble des problématiques réelles d’une chaîne de données : hétérogénéité des outils entre l’existant on-premise et le cloud, typage défaillant des données sources, présence de données personnelles dans un flux analytique, contraintes de droits imposées par la gouvernance de l’organisation, et nécessité constante de valider plutôt que supposer.</w:t>
      </w:r>
    </w:p>
    <w:p>
      <w:pPr>
        <w:spacing w:after="120" w:line="276"/>
      </w:pPr>
      <w:r>
        <w:rPr>
          <w:sz w:val="22"/>
          <w:szCs w:val="22"/>
        </w:rPr>
        <w:t xml:space="preserve">Le choix d’une architecture Medallion s’est révélé structurant : la séparation en trois couches a permis de traiter chaque préoccupation à son niveau — fidélité à la source en bronze, qualité et conformité en silver, lisibilité métier en gold — tout en conservant la possibilité de rejouer l’ensemble de la chaîne sans solliciter à nouveau le système source.</w:t>
      </w:r>
    </w:p>
    <w:p>
      <w:pPr>
        <w:spacing w:after="120" w:line="276"/>
      </w:pPr>
      <w:r>
        <w:rPr>
          <w:sz w:val="22"/>
          <w:szCs w:val="22"/>
        </w:rPr>
        <w:t xml:space="preserve">Enfin, le contournement du blocage lié au principal de service illustre un enseignement qui dépasse le cadre technique : face à une contrainte non négociable, la bonne réponse consiste rarement à forcer le passage, mais plutôt à réévaluer l’architecture pour identifier la solution qui atteint le même objectif par un chemin mieux adapté au contexte. Le pipeline natif Fabric retenu n’est pas un compromis dégradé — c’est, pour ce cas d’usage précis, la pratique recommandée.</w:t>
      </w:r>
    </w:p>
    <w:p>
      <w:pPr>
        <w:pStyle w:val="Heading1"/>
        <w:pageBreakBefore/>
        <w:spacing w:after="200" w:before="0"/>
      </w:pPr>
      <w:r>
        <w:rPr>
          <w:b/>
          <w:bCs/>
          <w:color w:val="1F3864"/>
          <w:sz w:val="32"/>
          <w:szCs w:val="32"/>
        </w:rPr>
        <w:t xml:space="preserve">Annexe A — Code PySpark</w:t>
      </w:r>
    </w:p>
    <w:p>
      <w:pPr>
        <w:pStyle w:val="Heading2"/>
        <w:spacing w:after="140" w:before="280"/>
      </w:pPr>
      <w:r>
        <w:rPr>
          <w:b/>
          <w:bCs/>
          <w:color w:val="2E5496"/>
          <w:sz w:val="26"/>
          <w:szCs w:val="26"/>
        </w:rPr>
        <w:t xml:space="preserve">A.1 Lecture de la couche bronze et profilage</w:t>
      </w:r>
    </w:p>
    <w:p>
      <w:pPr>
        <w:keepNext/>
        <w:shd w:fill="F2F2F2" w:val="clear"/>
        <w:spacing w:after="0" w:line="240"/>
        <w:ind w:left="340"/>
      </w:pPr>
      <w:r>
        <w:rPr>
          <w:rFonts w:ascii="Consolas" w:cs="Consolas" w:eastAsia="Consolas" w:hAnsi="Consolas"/>
          <w:sz w:val="17"/>
          <w:szCs w:val="17"/>
        </w:rPr>
        <w:t xml:space="preserve">df_bronze = spark.read.parquet("Files/bronze/orders/orders.parquet")</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df_bronze.printSchema()</w:t>
      </w:r>
    </w:p>
    <w:p>
      <w:pPr>
        <w:keepNext/>
        <w:shd w:fill="F2F2F2" w:val="clear"/>
        <w:spacing w:after="0" w:line="240"/>
        <w:ind w:left="340"/>
      </w:pPr>
      <w:r>
        <w:rPr>
          <w:rFonts w:ascii="Consolas" w:cs="Consolas" w:eastAsia="Consolas" w:hAnsi="Consolas"/>
          <w:sz w:val="17"/>
          <w:szCs w:val="17"/>
        </w:rPr>
        <w:t xml:space="preserve">df_bronze.show(5)</w:t>
      </w:r>
    </w:p>
    <w:p>
      <w:pPr>
        <w:keepNext/>
        <w:shd w:fill="F2F2F2" w:val="clear"/>
        <w:spacing w:after="0" w:line="240"/>
        <w:ind w:left="340"/>
      </w:pPr>
      <w:r>
        <w:rPr>
          <w:rFonts w:ascii="Consolas" w:cs="Consolas" w:eastAsia="Consolas" w:hAnsi="Consolas"/>
          <w:sz w:val="17"/>
          <w:szCs w:val="17"/>
        </w:rPr>
        <w:t xml:space="preserve">print(f"Row count: {df_bronze.count()}")</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 Inventaire des colonnes et de leurs types</w:t>
      </w:r>
    </w:p>
    <w:p>
      <w:pPr>
        <w:keepNext/>
        <w:shd w:fill="F2F2F2" w:val="clear"/>
        <w:spacing w:after="0" w:line="240"/>
        <w:ind w:left="340"/>
      </w:pPr>
      <w:r>
        <w:rPr>
          <w:rFonts w:ascii="Consolas" w:cs="Consolas" w:eastAsia="Consolas" w:hAnsi="Consolas"/>
          <w:sz w:val="17"/>
          <w:szCs w:val="17"/>
        </w:rPr>
        <w:t xml:space="preserve">print(df_bronze.columns)</w:t>
      </w:r>
    </w:p>
    <w:p>
      <w:pPr>
        <w:keepNext/>
        <w:shd w:fill="F2F2F2" w:val="clear"/>
        <w:spacing w:after="0" w:line="240"/>
        <w:ind w:left="340"/>
      </w:pPr>
      <w:r>
        <w:rPr>
          <w:rFonts w:ascii="Consolas" w:cs="Consolas" w:eastAsia="Consolas" w:hAnsi="Consolas"/>
          <w:sz w:val="17"/>
          <w:szCs w:val="17"/>
        </w:rPr>
        <w:t xml:space="preserve">print(f"Total columns: {len(df_bronze.columns)}")</w:t>
      </w:r>
    </w:p>
    <w:p>
      <w:pPr>
        <w:keepNext/>
        <w:shd w:fill="F2F2F2" w:val="clear"/>
        <w:spacing w:after="0" w:line="240"/>
        <w:ind w:left="340"/>
      </w:pPr>
      <w:r>
        <w:rPr>
          <w:rFonts w:ascii="Consolas" w:cs="Consolas" w:eastAsia="Consolas" w:hAnsi="Consolas"/>
          <w:sz w:val="17"/>
          <w:szCs w:val="17"/>
        </w:rPr>
        <w:t xml:space="preserve">for col_name, col_type in df_bronze.dtypes:</w:t>
      </w:r>
    </w:p>
    <w:p>
      <w:pPr>
        <w:keepNext w:val="false"/>
        <w:shd w:fill="F2F2F2" w:val="clear"/>
        <w:spacing w:after="160" w:line="240"/>
        <w:ind w:left="340"/>
      </w:pPr>
      <w:r>
        <w:rPr>
          <w:rFonts w:ascii="Consolas" w:cs="Consolas" w:eastAsia="Consolas" w:hAnsi="Consolas"/>
          <w:sz w:val="17"/>
          <w:szCs w:val="17"/>
        </w:rPr>
        <w:t xml:space="preserve">    print(f"{col_name}: {col_type}")</w:t>
      </w:r>
    </w:p>
    <w:p>
      <w:pPr>
        <w:pStyle w:val="Heading2"/>
        <w:spacing w:after="140" w:before="280"/>
      </w:pPr>
      <w:r>
        <w:rPr>
          <w:b/>
          <w:bCs/>
          <w:color w:val="2E5496"/>
          <w:sz w:val="26"/>
          <w:szCs w:val="26"/>
        </w:rPr>
        <w:t xml:space="preserve">A.2 Transformation bronze vers silver</w:t>
      </w:r>
    </w:p>
    <w:p>
      <w:pPr>
        <w:keepNext/>
        <w:shd w:fill="F2F2F2" w:val="clear"/>
        <w:spacing w:after="0" w:line="240"/>
        <w:ind w:left="340"/>
      </w:pPr>
      <w:r>
        <w:rPr>
          <w:rFonts w:ascii="Consolas" w:cs="Consolas" w:eastAsia="Consolas" w:hAnsi="Consolas"/>
          <w:sz w:val="17"/>
          <w:szCs w:val="17"/>
        </w:rPr>
        <w:t xml:space="preserve">from pyspark.sql.functions import col</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numeric_cols = [</w:t>
      </w:r>
    </w:p>
    <w:p>
      <w:pPr>
        <w:keepNext/>
        <w:shd w:fill="F2F2F2" w:val="clear"/>
        <w:spacing w:after="0" w:line="240"/>
        <w:ind w:left="340"/>
      </w:pPr>
      <w:r>
        <w:rPr>
          <w:rFonts w:ascii="Consolas" w:cs="Consolas" w:eastAsia="Consolas" w:hAnsi="Consolas"/>
          <w:sz w:val="17"/>
          <w:szCs w:val="17"/>
        </w:rPr>
        <w:t xml:space="preserve">    "Benefit_per_order", "Sales_per_customer", "Latitude", "Longitude",</w:t>
      </w:r>
    </w:p>
    <w:p>
      <w:pPr>
        <w:keepNext/>
        <w:shd w:fill="F2F2F2" w:val="clear"/>
        <w:spacing w:after="0" w:line="240"/>
        <w:ind w:left="340"/>
      </w:pPr>
      <w:r>
        <w:rPr>
          <w:rFonts w:ascii="Consolas" w:cs="Consolas" w:eastAsia="Consolas" w:hAnsi="Consolas"/>
          <w:sz w:val="17"/>
          <w:szCs w:val="17"/>
        </w:rPr>
        <w:t xml:space="preserve">    "Order_Item_Discount", "Order_Item_Discount_Rate",</w:t>
      </w:r>
    </w:p>
    <w:p>
      <w:pPr>
        <w:keepNext/>
        <w:shd w:fill="F2F2F2" w:val="clear"/>
        <w:spacing w:after="0" w:line="240"/>
        <w:ind w:left="340"/>
      </w:pPr>
      <w:r>
        <w:rPr>
          <w:rFonts w:ascii="Consolas" w:cs="Consolas" w:eastAsia="Consolas" w:hAnsi="Consolas"/>
          <w:sz w:val="17"/>
          <w:szCs w:val="17"/>
        </w:rPr>
        <w:t xml:space="preserve">    "Order_Item_Product_Price", "Order_Item_Profit_Ratio", "Sales",</w:t>
      </w:r>
    </w:p>
    <w:p>
      <w:pPr>
        <w:keepNext/>
        <w:shd w:fill="F2F2F2" w:val="clear"/>
        <w:spacing w:after="0" w:line="240"/>
        <w:ind w:left="340"/>
      </w:pPr>
      <w:r>
        <w:rPr>
          <w:rFonts w:ascii="Consolas" w:cs="Consolas" w:eastAsia="Consolas" w:hAnsi="Consolas"/>
          <w:sz w:val="17"/>
          <w:szCs w:val="17"/>
        </w:rPr>
        <w:t xml:space="preserve">    "Order_Item_Total", "Order_Profit_Per_Order", "Product_Price"</w:t>
      </w:r>
    </w:p>
    <w:p>
      <w:pPr>
        <w:keepNext/>
        <w:shd w:fill="F2F2F2" w:val="clear"/>
        <w:spacing w:after="0" w:line="240"/>
        <w:ind w:left="340"/>
      </w:pPr>
      <w:r>
        <w:rPr>
          <w:rFonts w:ascii="Consolas" w:cs="Consolas" w:eastAsia="Consolas" w:hAnsi="Consolas"/>
          <w:sz w:val="17"/>
          <w:szCs w:val="17"/>
        </w:rPr>
        <w:t xml:space="preserve">]</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df_silver = df_bronze</w:t>
      </w:r>
    </w:p>
    <w:p>
      <w:pPr>
        <w:keepNext/>
        <w:shd w:fill="F2F2F2" w:val="clear"/>
        <w:spacing w:after="0" w:line="240"/>
        <w:ind w:left="340"/>
      </w:pPr>
      <w:r>
        <w:rPr>
          <w:rFonts w:ascii="Consolas" w:cs="Consolas" w:eastAsia="Consolas" w:hAnsi="Consolas"/>
          <w:sz w:val="17"/>
          <w:szCs w:val="17"/>
        </w:rPr>
        <w:t xml:space="preserve">for c in numeric_cols:</w:t>
      </w:r>
    </w:p>
    <w:p>
      <w:pPr>
        <w:keepNext/>
        <w:shd w:fill="F2F2F2" w:val="clear"/>
        <w:spacing w:after="0" w:line="240"/>
        <w:ind w:left="340"/>
      </w:pPr>
      <w:r>
        <w:rPr>
          <w:rFonts w:ascii="Consolas" w:cs="Consolas" w:eastAsia="Consolas" w:hAnsi="Consolas"/>
          <w:sz w:val="17"/>
          <w:szCs w:val="17"/>
        </w:rPr>
        <w:t xml:space="preserve">    df_silver = df_silver.withColumn(c, col(c).cast("double"))</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df_silver = df_silver.drop("Customer_Password")</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before_dedup = df_silver.count()</w:t>
      </w:r>
    </w:p>
    <w:p>
      <w:pPr>
        <w:keepNext/>
        <w:shd w:fill="F2F2F2" w:val="clear"/>
        <w:spacing w:after="0" w:line="240"/>
        <w:ind w:left="340"/>
      </w:pPr>
      <w:r>
        <w:rPr>
          <w:rFonts w:ascii="Consolas" w:cs="Consolas" w:eastAsia="Consolas" w:hAnsi="Consolas"/>
          <w:sz w:val="17"/>
          <w:szCs w:val="17"/>
        </w:rPr>
        <w:t xml:space="preserve">df_silver = df_silver.dropDuplicates()</w:t>
      </w:r>
    </w:p>
    <w:p>
      <w:pPr>
        <w:keepNext/>
        <w:shd w:fill="F2F2F2" w:val="clear"/>
        <w:spacing w:after="0" w:line="240"/>
        <w:ind w:left="340"/>
      </w:pPr>
      <w:r>
        <w:rPr>
          <w:rFonts w:ascii="Consolas" w:cs="Consolas" w:eastAsia="Consolas" w:hAnsi="Consolas"/>
          <w:sz w:val="17"/>
          <w:szCs w:val="17"/>
        </w:rPr>
        <w:t xml:space="preserve">after_dedup = df_silver.count()</w:t>
      </w:r>
    </w:p>
    <w:p>
      <w:pPr>
        <w:keepNext/>
        <w:shd w:fill="F2F2F2" w:val="clear"/>
        <w:spacing w:after="0" w:line="240"/>
        <w:ind w:left="340"/>
      </w:pPr>
      <w:r>
        <w:rPr>
          <w:rFonts w:ascii="Consolas" w:cs="Consolas" w:eastAsia="Consolas" w:hAnsi="Consolas"/>
          <w:sz w:val="17"/>
          <w:szCs w:val="17"/>
        </w:rPr>
        <w:t xml:space="preserve">print(f"Doublons supprimes : {before_dedup - after_dedup}")</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df_silver.write.mode("overwrite").format("delta") \</w:t>
      </w:r>
    </w:p>
    <w:p>
      <w:pPr>
        <w:keepNext w:val="false"/>
        <w:shd w:fill="F2F2F2" w:val="clear"/>
        <w:spacing w:after="160" w:line="240"/>
        <w:ind w:left="340"/>
      </w:pPr>
      <w:r>
        <w:rPr>
          <w:rFonts w:ascii="Consolas" w:cs="Consolas" w:eastAsia="Consolas" w:hAnsi="Consolas"/>
          <w:sz w:val="17"/>
          <w:szCs w:val="17"/>
        </w:rPr>
        <w:t xml:space="preserve">    .saveAsTable("silver_orders")</w:t>
      </w:r>
    </w:p>
    <w:p>
      <w:pPr>
        <w:pStyle w:val="Heading2"/>
        <w:spacing w:after="140" w:before="280"/>
      </w:pPr>
      <w:r>
        <w:rPr>
          <w:b/>
          <w:bCs/>
          <w:color w:val="2E5496"/>
          <w:sz w:val="26"/>
          <w:szCs w:val="26"/>
        </w:rPr>
        <w:t xml:space="preserve">A.3 Contrôles de qualité</w:t>
      </w:r>
    </w:p>
    <w:p>
      <w:pPr>
        <w:keepNext/>
        <w:shd w:fill="F2F2F2" w:val="clear"/>
        <w:spacing w:after="0" w:line="240"/>
        <w:ind w:left="340"/>
      </w:pPr>
      <w:r>
        <w:rPr>
          <w:rFonts w:ascii="Consolas" w:cs="Consolas" w:eastAsia="Consolas" w:hAnsi="Consolas"/>
          <w:sz w:val="17"/>
          <w:szCs w:val="17"/>
        </w:rPr>
        <w:t xml:space="preserve">from pyspark.sql.functions import col</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row_count = df_silver.count()</w:t>
      </w:r>
    </w:p>
    <w:p>
      <w:pPr>
        <w:keepNext/>
        <w:shd w:fill="F2F2F2" w:val="clear"/>
        <w:spacing w:after="0" w:line="240"/>
        <w:ind w:left="340"/>
      </w:pPr>
      <w:r>
        <w:rPr>
          <w:rFonts w:ascii="Consolas" w:cs="Consolas" w:eastAsia="Consolas" w:hAnsi="Consolas"/>
          <w:sz w:val="17"/>
          <w:szCs w:val="17"/>
        </w:rPr>
        <w:t xml:space="preserve">assert row_count &gt; 0, "ECHEC : la table silver est vide"</w:t>
      </w:r>
    </w:p>
    <w:p>
      <w:pPr>
        <w:keepNext/>
        <w:shd w:fill="F2F2F2" w:val="clear"/>
        <w:spacing w:after="0" w:line="240"/>
        <w:ind w:left="340"/>
      </w:pPr>
      <w:r>
        <w:rPr>
          <w:rFonts w:ascii="Consolas" w:cs="Consolas" w:eastAsia="Consolas" w:hAnsi="Consolas"/>
          <w:sz w:val="17"/>
          <w:szCs w:val="17"/>
        </w:rPr>
        <w:t xml:space="preserve">print(f"Volumetrie validee : {row_count} lignes")</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key_columns = ["Order_Id", "Customer_Id", "Order_Item_Id",</w:t>
      </w:r>
    </w:p>
    <w:p>
      <w:pPr>
        <w:keepNext/>
        <w:shd w:fill="F2F2F2" w:val="clear"/>
        <w:spacing w:after="0" w:line="240"/>
        <w:ind w:left="340"/>
      </w:pPr>
      <w:r>
        <w:rPr>
          <w:rFonts w:ascii="Consolas" w:cs="Consolas" w:eastAsia="Consolas" w:hAnsi="Consolas"/>
          <w:sz w:val="17"/>
          <w:szCs w:val="17"/>
        </w:rPr>
        <w:t xml:space="preserve">               "Sales", "order_date_DateOrders"]</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for c in key_columns:</w:t>
      </w:r>
    </w:p>
    <w:p>
      <w:pPr>
        <w:keepNext/>
        <w:shd w:fill="F2F2F2" w:val="clear"/>
        <w:spacing w:after="0" w:line="240"/>
        <w:ind w:left="340"/>
      </w:pPr>
      <w:r>
        <w:rPr>
          <w:rFonts w:ascii="Consolas" w:cs="Consolas" w:eastAsia="Consolas" w:hAnsi="Consolas"/>
          <w:sz w:val="17"/>
          <w:szCs w:val="17"/>
        </w:rPr>
        <w:t xml:space="preserve">    null_count = df_silver.filter(col(c).isNull()).count()</w:t>
      </w:r>
    </w:p>
    <w:p>
      <w:pPr>
        <w:keepNext/>
        <w:shd w:fill="F2F2F2" w:val="clear"/>
        <w:spacing w:after="0" w:line="240"/>
        <w:ind w:left="340"/>
      </w:pPr>
      <w:r>
        <w:rPr>
          <w:rFonts w:ascii="Consolas" w:cs="Consolas" w:eastAsia="Consolas" w:hAnsi="Consolas"/>
          <w:sz w:val="17"/>
          <w:szCs w:val="17"/>
        </w:rPr>
        <w:t xml:space="preserve">    null_pct = round((null_count / row_count) * 100, 2)</w:t>
      </w:r>
    </w:p>
    <w:p>
      <w:pPr>
        <w:keepNext/>
        <w:shd w:fill="F2F2F2" w:val="clear"/>
        <w:spacing w:after="0" w:line="240"/>
        <w:ind w:left="340"/>
      </w:pPr>
      <w:r>
        <w:rPr>
          <w:rFonts w:ascii="Consolas" w:cs="Consolas" w:eastAsia="Consolas" w:hAnsi="Consolas"/>
          <w:sz w:val="17"/>
          <w:szCs w:val="17"/>
        </w:rPr>
        <w:t xml:space="preserve">    print(f"{c} : {null_count} nulls ({null_pct} %)")</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 Unicite de la cle primaire</w:t>
      </w:r>
    </w:p>
    <w:p>
      <w:pPr>
        <w:keepNext/>
        <w:shd w:fill="F2F2F2" w:val="clear"/>
        <w:spacing w:after="0" w:line="240"/>
        <w:ind w:left="340"/>
      </w:pPr>
      <w:r>
        <w:rPr>
          <w:rFonts w:ascii="Consolas" w:cs="Consolas" w:eastAsia="Consolas" w:hAnsi="Consolas"/>
          <w:sz w:val="17"/>
          <w:szCs w:val="17"/>
        </w:rPr>
        <w:t xml:space="preserve">distinct_items = df_silver.select("Order_Item_Id").distinct().count()</w:t>
      </w:r>
    </w:p>
    <w:p>
      <w:pPr>
        <w:keepNext/>
        <w:shd w:fill="F2F2F2" w:val="clear"/>
        <w:spacing w:after="0" w:line="240"/>
        <w:ind w:left="340"/>
      </w:pPr>
      <w:r>
        <w:rPr>
          <w:rFonts w:ascii="Consolas" w:cs="Consolas" w:eastAsia="Consolas" w:hAnsi="Consolas"/>
          <w:sz w:val="17"/>
          <w:szCs w:val="17"/>
        </w:rPr>
        <w:t xml:space="preserve">print(f"Unicite Order_Item_Id : {distinct_items} / {row_count}")</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 Regle metier : pas de ventes negatives</w:t>
      </w:r>
    </w:p>
    <w:p>
      <w:pPr>
        <w:keepNext/>
        <w:shd w:fill="F2F2F2" w:val="clear"/>
        <w:spacing w:after="0" w:line="240"/>
        <w:ind w:left="340"/>
      </w:pPr>
      <w:r>
        <w:rPr>
          <w:rFonts w:ascii="Consolas" w:cs="Consolas" w:eastAsia="Consolas" w:hAnsi="Consolas"/>
          <w:sz w:val="17"/>
          <w:szCs w:val="17"/>
        </w:rPr>
        <w:t xml:space="preserve">negative_sales = df_silver.filter(col("Sales") &lt; 0).count()</w:t>
      </w:r>
    </w:p>
    <w:p>
      <w:pPr>
        <w:keepNext w:val="false"/>
        <w:shd w:fill="F2F2F2" w:val="clear"/>
        <w:spacing w:after="160" w:line="240"/>
        <w:ind w:left="340"/>
      </w:pPr>
      <w:r>
        <w:rPr>
          <w:rFonts w:ascii="Consolas" w:cs="Consolas" w:eastAsia="Consolas" w:hAnsi="Consolas"/>
          <w:sz w:val="17"/>
          <w:szCs w:val="17"/>
        </w:rPr>
        <w:t xml:space="preserve">print(f"Ventes negatives : {negative_sales}")</w:t>
      </w:r>
    </w:p>
    <w:p>
      <w:pPr>
        <w:pStyle w:val="Heading2"/>
        <w:spacing w:after="140" w:before="280"/>
      </w:pPr>
      <w:r>
        <w:rPr>
          <w:b/>
          <w:bCs/>
          <w:color w:val="2E5496"/>
          <w:sz w:val="26"/>
          <w:szCs w:val="26"/>
        </w:rPr>
        <w:t xml:space="preserve">A.4 Construction de la couche gold</w:t>
      </w:r>
    </w:p>
    <w:p>
      <w:pPr>
        <w:keepNext w:val="false"/>
        <w:shd w:fill="F2F2F2" w:val="clear"/>
        <w:spacing w:after="0" w:line="240"/>
        <w:ind w:left="340"/>
      </w:pPr>
      <w:r>
        <w:rPr>
          <w:rFonts w:ascii="Consolas" w:cs="Consolas" w:eastAsia="Consolas" w:hAnsi="Consolas"/>
          <w:sz w:val="17"/>
          <w:szCs w:val="17"/>
        </w:rPr>
        <w:t xml:space="preserve">from pyspark.sql.functions import col, to_date, min as spark_min, max as spark_max</w:t>
      </w:r>
    </w:p>
    <w:p>
      <w:pPr>
        <w:keepNext w:val="false"/>
        <w:shd w:fill="F2F2F2" w:val="clear"/>
        <w:spacing w:after="0" w:line="240"/>
        <w:ind w:left="340"/>
      </w:pPr>
      <w:r>
        <w:rPr>
          <w:rFonts w:ascii="Consolas" w:cs="Consolas" w:eastAsia="Consolas" w:hAnsi="Consolas"/>
          <w:sz w:val="17"/>
          <w:szCs w:val="17"/>
        </w:rPr>
        <w:t xml:space="preserve"> </w:t>
      </w:r>
    </w:p>
    <w:p>
      <w:pPr>
        <w:keepNext w:val="false"/>
        <w:shd w:fill="F2F2F2" w:val="clear"/>
        <w:spacing w:after="0" w:line="240"/>
        <w:ind w:left="340"/>
      </w:pPr>
      <w:r>
        <w:rPr>
          <w:rFonts w:ascii="Consolas" w:cs="Consolas" w:eastAsia="Consolas" w:hAnsi="Consolas"/>
          <w:sz w:val="17"/>
          <w:szCs w:val="17"/>
        </w:rPr>
        <w:t xml:space="preserve">df_silver = spark.read.table("silver_orders")</w:t>
      </w:r>
    </w:p>
    <w:p>
      <w:pPr>
        <w:keepNext w:val="false"/>
        <w:shd w:fill="F2F2F2" w:val="clear"/>
        <w:spacing w:after="0" w:line="240"/>
        <w:ind w:left="340"/>
      </w:pPr>
      <w:r>
        <w:rPr>
          <w:rFonts w:ascii="Consolas" w:cs="Consolas" w:eastAsia="Consolas" w:hAnsi="Consolas"/>
          <w:sz w:val="17"/>
          <w:szCs w:val="17"/>
        </w:rPr>
        <w:t xml:space="preserve"> </w:t>
      </w:r>
    </w:p>
    <w:p>
      <w:pPr>
        <w:keepNext w:val="false"/>
        <w:shd w:fill="F2F2F2" w:val="clear"/>
        <w:spacing w:after="0" w:line="240"/>
        <w:ind w:left="340"/>
      </w:pPr>
      <w:r>
        <w:rPr>
          <w:rFonts w:ascii="Consolas" w:cs="Consolas" w:eastAsia="Consolas" w:hAnsi="Consolas"/>
          <w:sz w:val="17"/>
          <w:szCs w:val="17"/>
        </w:rPr>
        <w:t xml:space="preserve"># --- Dimension fournisseur ---</w:t>
      </w:r>
    </w:p>
    <w:p>
      <w:pPr>
        <w:keepNext w:val="false"/>
        <w:shd w:fill="F2F2F2" w:val="clear"/>
        <w:spacing w:after="0" w:line="240"/>
        <w:ind w:left="340"/>
      </w:pPr>
      <w:r>
        <w:rPr>
          <w:rFonts w:ascii="Consolas" w:cs="Consolas" w:eastAsia="Consolas" w:hAnsi="Consolas"/>
          <w:sz w:val="17"/>
          <w:szCs w:val="17"/>
        </w:rPr>
        <w:t xml:space="preserve">dim_supplier = df_silver.select("Department_Id", "Department_Name") \</w:t>
      </w:r>
    </w:p>
    <w:p>
      <w:pPr>
        <w:keepNext w:val="false"/>
        <w:shd w:fill="F2F2F2" w:val="clear"/>
        <w:spacing w:after="0" w:line="240"/>
        <w:ind w:left="340"/>
      </w:pPr>
      <w:r>
        <w:rPr>
          <w:rFonts w:ascii="Consolas" w:cs="Consolas" w:eastAsia="Consolas" w:hAnsi="Consolas"/>
          <w:sz w:val="17"/>
          <w:szCs w:val="17"/>
        </w:rPr>
        <w:t xml:space="preserve">    .dropDuplicates(["Department_Id"]) \</w:t>
      </w:r>
    </w:p>
    <w:p>
      <w:pPr>
        <w:keepNext w:val="false"/>
        <w:shd w:fill="F2F2F2" w:val="clear"/>
        <w:spacing w:after="0" w:line="240"/>
        <w:ind w:left="340"/>
      </w:pPr>
      <w:r>
        <w:rPr>
          <w:rFonts w:ascii="Consolas" w:cs="Consolas" w:eastAsia="Consolas" w:hAnsi="Consolas"/>
          <w:sz w:val="17"/>
          <w:szCs w:val="17"/>
        </w:rPr>
        <w:t xml:space="preserve">    .orderBy("Department_Id")</w:t>
      </w:r>
    </w:p>
    <w:p>
      <w:pPr>
        <w:keepNext w:val="false"/>
        <w:shd w:fill="F2F2F2" w:val="clear"/>
        <w:spacing w:after="0" w:line="240"/>
        <w:ind w:left="340"/>
      </w:pPr>
      <w:r>
        <w:rPr>
          <w:rFonts w:ascii="Consolas" w:cs="Consolas" w:eastAsia="Consolas" w:hAnsi="Consolas"/>
          <w:sz w:val="17"/>
          <w:szCs w:val="17"/>
        </w:rPr>
        <w:t xml:space="preserve">dim_supplier.write.mode("overwrite").format("delta") \</w:t>
      </w:r>
    </w:p>
    <w:p>
      <w:pPr>
        <w:keepNext w:val="false"/>
        <w:shd w:fill="F2F2F2" w:val="clear"/>
        <w:spacing w:after="0" w:line="240"/>
        <w:ind w:left="340"/>
      </w:pPr>
      <w:r>
        <w:rPr>
          <w:rFonts w:ascii="Consolas" w:cs="Consolas" w:eastAsia="Consolas" w:hAnsi="Consolas"/>
          <w:sz w:val="17"/>
          <w:szCs w:val="17"/>
        </w:rPr>
        <w:t xml:space="preserve">    .saveAsTable("dim_supplier")</w:t>
      </w:r>
    </w:p>
    <w:p>
      <w:pPr>
        <w:keepNext w:val="false"/>
        <w:shd w:fill="F2F2F2" w:val="clear"/>
        <w:spacing w:after="0" w:line="240"/>
        <w:ind w:left="340"/>
      </w:pPr>
      <w:r>
        <w:rPr>
          <w:rFonts w:ascii="Consolas" w:cs="Consolas" w:eastAsia="Consolas" w:hAnsi="Consolas"/>
          <w:sz w:val="17"/>
          <w:szCs w:val="17"/>
        </w:rPr>
        <w:t xml:space="preserve"> </w:t>
      </w:r>
    </w:p>
    <w:p>
      <w:pPr>
        <w:keepNext w:val="false"/>
        <w:shd w:fill="F2F2F2" w:val="clear"/>
        <w:spacing w:after="0" w:line="240"/>
        <w:ind w:left="340"/>
      </w:pPr>
      <w:r>
        <w:rPr>
          <w:rFonts w:ascii="Consolas" w:cs="Consolas" w:eastAsia="Consolas" w:hAnsi="Consolas"/>
          <w:sz w:val="17"/>
          <w:szCs w:val="17"/>
        </w:rPr>
        <w:t xml:space="preserve"># --- Dimension calendaire ---</w:t>
      </w:r>
    </w:p>
    <w:p>
      <w:pPr>
        <w:keepNext w:val="false"/>
        <w:shd w:fill="F2F2F2" w:val="clear"/>
        <w:spacing w:after="0" w:line="240"/>
        <w:ind w:left="340"/>
      </w:pPr>
      <w:r>
        <w:rPr>
          <w:rFonts w:ascii="Consolas" w:cs="Consolas" w:eastAsia="Consolas" w:hAnsi="Consolas"/>
          <w:sz w:val="17"/>
          <w:szCs w:val="17"/>
        </w:rPr>
        <w:t xml:space="preserve">date_range = df_silver.select(</w:t>
      </w:r>
    </w:p>
    <w:p>
      <w:pPr>
        <w:keepNext w:val="false"/>
        <w:shd w:fill="F2F2F2" w:val="clear"/>
        <w:spacing w:after="0" w:line="240"/>
        <w:ind w:left="340"/>
      </w:pPr>
      <w:r>
        <w:rPr>
          <w:rFonts w:ascii="Consolas" w:cs="Consolas" w:eastAsia="Consolas" w:hAnsi="Consolas"/>
          <w:sz w:val="17"/>
          <w:szCs w:val="17"/>
        </w:rPr>
        <w:t xml:space="preserve">    spark_min("order_date_DateOrders").alias("min_date"),</w:t>
      </w:r>
    </w:p>
    <w:p>
      <w:pPr>
        <w:keepNext w:val="false"/>
        <w:shd w:fill="F2F2F2" w:val="clear"/>
        <w:spacing w:after="0" w:line="240"/>
        <w:ind w:left="340"/>
      </w:pPr>
      <w:r>
        <w:rPr>
          <w:rFonts w:ascii="Consolas" w:cs="Consolas" w:eastAsia="Consolas" w:hAnsi="Consolas"/>
          <w:sz w:val="17"/>
          <w:szCs w:val="17"/>
        </w:rPr>
        <w:t xml:space="preserve">    spark_max("order_date_DateOrders").alias("max_date")</w:t>
      </w:r>
    </w:p>
    <w:p>
      <w:pPr>
        <w:keepNext w:val="false"/>
        <w:shd w:fill="F2F2F2" w:val="clear"/>
        <w:spacing w:after="0" w:line="240"/>
        <w:ind w:left="340"/>
      </w:pPr>
      <w:r>
        <w:rPr>
          <w:rFonts w:ascii="Consolas" w:cs="Consolas" w:eastAsia="Consolas" w:hAnsi="Consolas"/>
          <w:sz w:val="17"/>
          <w:szCs w:val="17"/>
        </w:rPr>
        <w:t xml:space="preserve">).collect()[0]</w:t>
      </w:r>
    </w:p>
    <w:p>
      <w:pPr>
        <w:keepNext w:val="false"/>
        <w:shd w:fill="F2F2F2" w:val="clear"/>
        <w:spacing w:after="0" w:line="240"/>
        <w:ind w:left="340"/>
      </w:pPr>
      <w:r>
        <w:rPr>
          <w:rFonts w:ascii="Consolas" w:cs="Consolas" w:eastAsia="Consolas" w:hAnsi="Consolas"/>
          <w:sz w:val="17"/>
          <w:szCs w:val="17"/>
        </w:rPr>
        <w:t xml:space="preserve"> </w:t>
      </w:r>
    </w:p>
    <w:p>
      <w:pPr>
        <w:keepNext w:val="false"/>
        <w:shd w:fill="F2F2F2" w:val="clear"/>
        <w:spacing w:after="0" w:line="240"/>
        <w:ind w:left="340"/>
      </w:pPr>
      <w:r>
        <w:rPr>
          <w:rFonts w:ascii="Consolas" w:cs="Consolas" w:eastAsia="Consolas" w:hAnsi="Consolas"/>
          <w:sz w:val="17"/>
          <w:szCs w:val="17"/>
        </w:rPr>
        <w:t xml:space="preserve">dim_date = spark.sql(f"""</w:t>
      </w:r>
    </w:p>
    <w:p>
      <w:pPr>
        <w:keepNext w:val="false"/>
        <w:shd w:fill="F2F2F2" w:val="clear"/>
        <w:spacing w:after="0" w:line="240"/>
        <w:ind w:left="340"/>
      </w:pPr>
      <w:r>
        <w:rPr>
          <w:rFonts w:ascii="Consolas" w:cs="Consolas" w:eastAsia="Consolas" w:hAnsi="Consolas"/>
          <w:sz w:val="17"/>
          <w:szCs w:val="17"/>
        </w:rPr>
        <w:t xml:space="preserve">    SELECT explode(sequence(</w:t>
      </w:r>
    </w:p>
    <w:p>
      <w:pPr>
        <w:keepNext w:val="false"/>
        <w:shd w:fill="F2F2F2" w:val="clear"/>
        <w:spacing w:after="0" w:line="240"/>
        <w:ind w:left="340"/>
      </w:pPr>
      <w:r>
        <w:rPr>
          <w:rFonts w:ascii="Consolas" w:cs="Consolas" w:eastAsia="Consolas" w:hAnsi="Consolas"/>
          <w:sz w:val="17"/>
          <w:szCs w:val="17"/>
        </w:rPr>
        <w:t xml:space="preserve">        to_date('{date_range["min_date"]}'),</w:t>
      </w:r>
    </w:p>
    <w:p>
      <w:pPr>
        <w:keepNext w:val="false"/>
        <w:shd w:fill="F2F2F2" w:val="clear"/>
        <w:spacing w:after="0" w:line="240"/>
        <w:ind w:left="340"/>
      </w:pPr>
      <w:r>
        <w:rPr>
          <w:rFonts w:ascii="Consolas" w:cs="Consolas" w:eastAsia="Consolas" w:hAnsi="Consolas"/>
          <w:sz w:val="17"/>
          <w:szCs w:val="17"/>
        </w:rPr>
        <w:t xml:space="preserve">        to_date('{date_range["max_date"]}'),</w:t>
      </w:r>
    </w:p>
    <w:p>
      <w:pPr>
        <w:keepNext w:val="false"/>
        <w:shd w:fill="F2F2F2" w:val="clear"/>
        <w:spacing w:after="0" w:line="240"/>
        <w:ind w:left="340"/>
      </w:pPr>
      <w:r>
        <w:rPr>
          <w:rFonts w:ascii="Consolas" w:cs="Consolas" w:eastAsia="Consolas" w:hAnsi="Consolas"/>
          <w:sz w:val="17"/>
          <w:szCs w:val="17"/>
        </w:rPr>
        <w:t xml:space="preserve">        interval 1 day)) as full_date</w:t>
      </w:r>
    </w:p>
    <w:p>
      <w:pPr>
        <w:keepNext w:val="false"/>
        <w:shd w:fill="F2F2F2" w:val="clear"/>
        <w:spacing w:after="0" w:line="240"/>
        <w:ind w:left="340"/>
      </w:pPr>
      <w:r>
        <w:rPr>
          <w:rFonts w:ascii="Consolas" w:cs="Consolas" w:eastAsia="Consolas" w:hAnsi="Consolas"/>
          <w:sz w:val="17"/>
          <w:szCs w:val="17"/>
        </w:rPr>
        <w:t xml:space="preserve">""")</w:t>
      </w:r>
    </w:p>
    <w:p>
      <w:pPr>
        <w:keepNext w:val="false"/>
        <w:shd w:fill="F2F2F2" w:val="clear"/>
        <w:spacing w:after="0" w:line="240"/>
        <w:ind w:left="340"/>
      </w:pPr>
      <w:r>
        <w:rPr>
          <w:rFonts w:ascii="Consolas" w:cs="Consolas" w:eastAsia="Consolas" w:hAnsi="Consolas"/>
          <w:sz w:val="17"/>
          <w:szCs w:val="17"/>
        </w:rPr>
        <w:t xml:space="preserve"> </w:t>
      </w:r>
    </w:p>
    <w:p>
      <w:pPr>
        <w:keepNext w:val="false"/>
        <w:shd w:fill="F2F2F2" w:val="clear"/>
        <w:spacing w:after="0" w:line="240"/>
        <w:ind w:left="340"/>
      </w:pPr>
      <w:r>
        <w:rPr>
          <w:rFonts w:ascii="Consolas" w:cs="Consolas" w:eastAsia="Consolas" w:hAnsi="Consolas"/>
          <w:sz w:val="17"/>
          <w:szCs w:val="17"/>
        </w:rPr>
        <w:t xml:space="preserve">dim_date = dim_date \</w:t>
      </w:r>
    </w:p>
    <w:p>
      <w:pPr>
        <w:keepNext w:val="false"/>
        <w:shd w:fill="F2F2F2" w:val="clear"/>
        <w:spacing w:after="0" w:line="240"/>
        <w:ind w:left="340"/>
      </w:pPr>
      <w:r>
        <w:rPr>
          <w:rFonts w:ascii="Consolas" w:cs="Consolas" w:eastAsia="Consolas" w:hAnsi="Consolas"/>
          <w:sz w:val="17"/>
          <w:szCs w:val="17"/>
        </w:rPr>
        <w:t xml:space="preserve">    .withColumn("year", year("full_date")) \</w:t>
      </w:r>
    </w:p>
    <w:p>
      <w:pPr>
        <w:keepNext w:val="false"/>
        <w:shd w:fill="F2F2F2" w:val="clear"/>
        <w:spacing w:after="0" w:line="240"/>
        <w:ind w:left="340"/>
      </w:pPr>
      <w:r>
        <w:rPr>
          <w:rFonts w:ascii="Consolas" w:cs="Consolas" w:eastAsia="Consolas" w:hAnsi="Consolas"/>
          <w:sz w:val="17"/>
          <w:szCs w:val="17"/>
        </w:rPr>
        <w:t xml:space="preserve">    .withColumn("month", month("full_date")) \</w:t>
      </w:r>
    </w:p>
    <w:p>
      <w:pPr>
        <w:keepNext w:val="false"/>
        <w:shd w:fill="F2F2F2" w:val="clear"/>
        <w:spacing w:after="0" w:line="240"/>
        <w:ind w:left="340"/>
      </w:pPr>
      <w:r>
        <w:rPr>
          <w:rFonts w:ascii="Consolas" w:cs="Consolas" w:eastAsia="Consolas" w:hAnsi="Consolas"/>
          <w:sz w:val="17"/>
          <w:szCs w:val="17"/>
        </w:rPr>
        <w:t xml:space="preserve">    .withColumn("month_name", date_format("full_date", "MMMM")) \</w:t>
      </w:r>
    </w:p>
    <w:p>
      <w:pPr>
        <w:keepNext w:val="false"/>
        <w:shd w:fill="F2F2F2" w:val="clear"/>
        <w:spacing w:after="0" w:line="240"/>
        <w:ind w:left="340"/>
      </w:pPr>
      <w:r>
        <w:rPr>
          <w:rFonts w:ascii="Consolas" w:cs="Consolas" w:eastAsia="Consolas" w:hAnsi="Consolas"/>
          <w:sz w:val="17"/>
          <w:szCs w:val="17"/>
        </w:rPr>
        <w:t xml:space="preserve">    .withColumn("quarter", quarter("full_date")) \</w:t>
      </w:r>
    </w:p>
    <w:p>
      <w:pPr>
        <w:keepNext w:val="false"/>
        <w:shd w:fill="F2F2F2" w:val="clear"/>
        <w:spacing w:after="0" w:line="240"/>
        <w:ind w:left="340"/>
      </w:pPr>
      <w:r>
        <w:rPr>
          <w:rFonts w:ascii="Consolas" w:cs="Consolas" w:eastAsia="Consolas" w:hAnsi="Consolas"/>
          <w:sz w:val="17"/>
          <w:szCs w:val="17"/>
        </w:rPr>
        <w:t xml:space="preserve">    .withColumn("week_of_year", weekofyear("full_date")) \</w:t>
      </w:r>
    </w:p>
    <w:p>
      <w:pPr>
        <w:keepNext w:val="false"/>
        <w:shd w:fill="F2F2F2" w:val="clear"/>
        <w:spacing w:after="0" w:line="240"/>
        <w:ind w:left="340"/>
      </w:pPr>
      <w:r>
        <w:rPr>
          <w:rFonts w:ascii="Consolas" w:cs="Consolas" w:eastAsia="Consolas" w:hAnsi="Consolas"/>
          <w:sz w:val="17"/>
          <w:szCs w:val="17"/>
        </w:rPr>
        <w:t xml:space="preserve">    .withColumn("day_of_week", dayofweek("full_date")) \</w:t>
      </w:r>
    </w:p>
    <w:p>
      <w:pPr>
        <w:keepNext w:val="false"/>
        <w:shd w:fill="F2F2F2" w:val="clear"/>
        <w:spacing w:after="0" w:line="240"/>
        <w:ind w:left="340"/>
      </w:pPr>
      <w:r>
        <w:rPr>
          <w:rFonts w:ascii="Consolas" w:cs="Consolas" w:eastAsia="Consolas" w:hAnsi="Consolas"/>
          <w:sz w:val="17"/>
          <w:szCs w:val="17"/>
        </w:rPr>
        <w:t xml:space="preserve">    .withColumn("day_name", date_format("full_date", "EEEE"))</w:t>
      </w:r>
    </w:p>
    <w:p>
      <w:pPr>
        <w:keepNext w:val="false"/>
        <w:shd w:fill="F2F2F2" w:val="clear"/>
        <w:spacing w:after="0" w:line="240"/>
        <w:ind w:left="340"/>
      </w:pPr>
      <w:r>
        <w:rPr>
          <w:rFonts w:ascii="Consolas" w:cs="Consolas" w:eastAsia="Consolas" w:hAnsi="Consolas"/>
          <w:sz w:val="17"/>
          <w:szCs w:val="17"/>
        </w:rPr>
        <w:t xml:space="preserve"> </w:t>
      </w:r>
    </w:p>
    <w:p>
      <w:pPr>
        <w:keepNext w:val="false"/>
        <w:shd w:fill="F2F2F2" w:val="clear"/>
        <w:spacing w:after="0" w:line="240"/>
        <w:ind w:left="340"/>
      </w:pPr>
      <w:r>
        <w:rPr>
          <w:rFonts w:ascii="Consolas" w:cs="Consolas" w:eastAsia="Consolas" w:hAnsi="Consolas"/>
          <w:sz w:val="17"/>
          <w:szCs w:val="17"/>
        </w:rPr>
        <w:t xml:space="preserve">dim_date.write.mode("overwrite").format("delta").saveAsTable("dim_date")</w:t>
      </w:r>
    </w:p>
    <w:p>
      <w:pPr>
        <w:keepNext w:val="false"/>
        <w:shd w:fill="F2F2F2" w:val="clear"/>
        <w:spacing w:after="0" w:line="240"/>
        <w:ind w:left="340"/>
      </w:pPr>
      <w:r>
        <w:rPr>
          <w:rFonts w:ascii="Consolas" w:cs="Consolas" w:eastAsia="Consolas" w:hAnsi="Consolas"/>
          <w:sz w:val="17"/>
          <w:szCs w:val="17"/>
        </w:rPr>
        <w:t xml:space="preserve"> </w:t>
      </w:r>
    </w:p>
    <w:p>
      <w:pPr>
        <w:keepNext w:val="false"/>
        <w:shd w:fill="F2F2F2" w:val="clear"/>
        <w:spacing w:after="0" w:line="240"/>
        <w:ind w:left="340"/>
      </w:pPr>
      <w:r>
        <w:rPr>
          <w:rFonts w:ascii="Consolas" w:cs="Consolas" w:eastAsia="Consolas" w:hAnsi="Consolas"/>
          <w:sz w:val="17"/>
          <w:szCs w:val="17"/>
        </w:rPr>
        <w:t xml:space="preserve"># --- Table de faits ---</w:t>
      </w:r>
    </w:p>
    <w:p>
      <w:pPr>
        <w:keepNext w:val="false"/>
        <w:shd w:fill="F2F2F2" w:val="clear"/>
        <w:spacing w:after="0" w:line="240"/>
        <w:ind w:left="340"/>
      </w:pPr>
      <w:r>
        <w:rPr>
          <w:rFonts w:ascii="Consolas" w:cs="Consolas" w:eastAsia="Consolas" w:hAnsi="Consolas"/>
          <w:sz w:val="17"/>
          <w:szCs w:val="17"/>
        </w:rPr>
        <w:t xml:space="preserve">fact_shipment = df_silver.select(</w:t>
      </w:r>
    </w:p>
    <w:p>
      <w:pPr>
        <w:keepNext w:val="false"/>
        <w:shd w:fill="F2F2F2" w:val="clear"/>
        <w:spacing w:after="0" w:line="240"/>
        <w:ind w:left="340"/>
      </w:pPr>
      <w:r>
        <w:rPr>
          <w:rFonts w:ascii="Consolas" w:cs="Consolas" w:eastAsia="Consolas" w:hAnsi="Consolas"/>
          <w:sz w:val="17"/>
          <w:szCs w:val="17"/>
        </w:rPr>
        <w:t xml:space="preserve">    "Order_Id", "Order_Item_Id", "Customer_Id", "Department_Id",</w:t>
      </w:r>
    </w:p>
    <w:p>
      <w:pPr>
        <w:keepNext w:val="false"/>
        <w:shd w:fill="F2F2F2" w:val="clear"/>
        <w:spacing w:after="0" w:line="240"/>
        <w:ind w:left="340"/>
      </w:pPr>
      <w:r>
        <w:rPr>
          <w:rFonts w:ascii="Consolas" w:cs="Consolas" w:eastAsia="Consolas" w:hAnsi="Consolas"/>
          <w:sz w:val="17"/>
          <w:szCs w:val="17"/>
        </w:rPr>
        <w:t xml:space="preserve">    to_date("order_date_DateOrders").alias("order_date"),</w:t>
      </w:r>
    </w:p>
    <w:p>
      <w:pPr>
        <w:keepNext w:val="false"/>
        <w:shd w:fill="F2F2F2" w:val="clear"/>
        <w:spacing w:after="0" w:line="240"/>
        <w:ind w:left="340"/>
      </w:pPr>
      <w:r>
        <w:rPr>
          <w:rFonts w:ascii="Consolas" w:cs="Consolas" w:eastAsia="Consolas" w:hAnsi="Consolas"/>
          <w:sz w:val="17"/>
          <w:szCs w:val="17"/>
        </w:rPr>
        <w:t xml:space="preserve">    to_date("shipping_date_DateOrders").alias("shipping_date"),</w:t>
      </w:r>
    </w:p>
    <w:p>
      <w:pPr>
        <w:keepNext w:val="false"/>
        <w:shd w:fill="F2F2F2" w:val="clear"/>
        <w:spacing w:after="0" w:line="240"/>
        <w:ind w:left="340"/>
      </w:pPr>
      <w:r>
        <w:rPr>
          <w:rFonts w:ascii="Consolas" w:cs="Consolas" w:eastAsia="Consolas" w:hAnsi="Consolas"/>
          <w:sz w:val="17"/>
          <w:szCs w:val="17"/>
        </w:rPr>
        <w:t xml:space="preserve">    "Days_for_shipping_real", "Days_for_shipment_scheduled",</w:t>
      </w:r>
    </w:p>
    <w:p>
      <w:pPr>
        <w:keepNext w:val="false"/>
        <w:shd w:fill="F2F2F2" w:val="clear"/>
        <w:spacing w:after="0" w:line="240"/>
        <w:ind w:left="340"/>
      </w:pPr>
      <w:r>
        <w:rPr>
          <w:rFonts w:ascii="Consolas" w:cs="Consolas" w:eastAsia="Consolas" w:hAnsi="Consolas"/>
          <w:sz w:val="17"/>
          <w:szCs w:val="17"/>
        </w:rPr>
        <w:t xml:space="preserve">    "Late_delivery_risk", "Delivery_Status", "Shipping_Mode",</w:t>
      </w:r>
    </w:p>
    <w:p>
      <w:pPr>
        <w:keepNext w:val="false"/>
        <w:shd w:fill="F2F2F2" w:val="clear"/>
        <w:spacing w:after="0" w:line="240"/>
        <w:ind w:left="340"/>
      </w:pPr>
      <w:r>
        <w:rPr>
          <w:rFonts w:ascii="Consolas" w:cs="Consolas" w:eastAsia="Consolas" w:hAnsi="Consolas"/>
          <w:sz w:val="17"/>
          <w:szCs w:val="17"/>
        </w:rPr>
        <w:t xml:space="preserve">    "Sales", "Order_Item_Quantity", "Order_Item_Discount",</w:t>
      </w:r>
    </w:p>
    <w:p>
      <w:pPr>
        <w:keepNext w:val="false"/>
        <w:shd w:fill="F2F2F2" w:val="clear"/>
        <w:spacing w:after="0" w:line="240"/>
        <w:ind w:left="340"/>
      </w:pPr>
      <w:r>
        <w:rPr>
          <w:rFonts w:ascii="Consolas" w:cs="Consolas" w:eastAsia="Consolas" w:hAnsi="Consolas"/>
          <w:sz w:val="17"/>
          <w:szCs w:val="17"/>
        </w:rPr>
        <w:t xml:space="preserve">    "Order_Profit_Per_Order", "Order_Region", "Order_Country"</w:t>
      </w:r>
    </w:p>
    <w:p>
      <w:pPr>
        <w:keepNext w:val="false"/>
        <w:shd w:fill="F2F2F2" w:val="clear"/>
        <w:spacing w:after="0" w:line="240"/>
        <w:ind w:left="340"/>
      </w:pPr>
      <w:r>
        <w:rPr>
          <w:rFonts w:ascii="Consolas" w:cs="Consolas" w:eastAsia="Consolas" w:hAnsi="Consolas"/>
          <w:sz w:val="17"/>
          <w:szCs w:val="17"/>
        </w:rPr>
        <w:t xml:space="preserve">)</w:t>
      </w:r>
    </w:p>
    <w:p>
      <w:pPr>
        <w:keepNext w:val="false"/>
        <w:shd w:fill="F2F2F2" w:val="clear"/>
        <w:spacing w:after="0" w:line="240"/>
        <w:ind w:left="340"/>
      </w:pPr>
      <w:r>
        <w:rPr>
          <w:rFonts w:ascii="Consolas" w:cs="Consolas" w:eastAsia="Consolas" w:hAnsi="Consolas"/>
          <w:sz w:val="17"/>
          <w:szCs w:val="17"/>
        </w:rPr>
        <w:t xml:space="preserve"> </w:t>
      </w:r>
    </w:p>
    <w:p>
      <w:pPr>
        <w:keepNext w:val="false"/>
        <w:shd w:fill="F2F2F2" w:val="clear"/>
        <w:spacing w:after="0" w:line="240"/>
        <w:ind w:left="340"/>
      </w:pPr>
      <w:r>
        <w:rPr>
          <w:rFonts w:ascii="Consolas" w:cs="Consolas" w:eastAsia="Consolas" w:hAnsi="Consolas"/>
          <w:sz w:val="17"/>
          <w:szCs w:val="17"/>
        </w:rPr>
        <w:t xml:space="preserve">fact_shipment = fact_shipment \</w:t>
      </w:r>
    </w:p>
    <w:p>
      <w:pPr>
        <w:keepNext w:val="false"/>
        <w:shd w:fill="F2F2F2" w:val="clear"/>
        <w:spacing w:after="0" w:line="240"/>
        <w:ind w:left="340"/>
      </w:pPr>
      <w:r>
        <w:rPr>
          <w:rFonts w:ascii="Consolas" w:cs="Consolas" w:eastAsia="Consolas" w:hAnsi="Consolas"/>
          <w:sz w:val="17"/>
          <w:szCs w:val="17"/>
        </w:rPr>
        <w:t xml:space="preserve">    .withColumn("lead_time_days", col("Days_for_shipping_real")) \</w:t>
      </w:r>
    </w:p>
    <w:p>
      <w:pPr>
        <w:keepNext w:val="false"/>
        <w:shd w:fill="F2F2F2" w:val="clear"/>
        <w:spacing w:after="0" w:line="240"/>
        <w:ind w:left="340"/>
      </w:pPr>
      <w:r>
        <w:rPr>
          <w:rFonts w:ascii="Consolas" w:cs="Consolas" w:eastAsia="Consolas" w:hAnsi="Consolas"/>
          <w:sz w:val="17"/>
          <w:szCs w:val="17"/>
        </w:rPr>
        <w:t xml:space="preserve">    .withColumn("delay_days",</w:t>
      </w:r>
    </w:p>
    <w:p>
      <w:pPr>
        <w:keepNext w:val="false"/>
        <w:shd w:fill="F2F2F2" w:val="clear"/>
        <w:spacing w:after="0" w:line="240"/>
        <w:ind w:left="340"/>
      </w:pPr>
      <w:r>
        <w:rPr>
          <w:rFonts w:ascii="Consolas" w:cs="Consolas" w:eastAsia="Consolas" w:hAnsi="Consolas"/>
          <w:sz w:val="17"/>
          <w:szCs w:val="17"/>
        </w:rPr>
        <w:t xml:space="preserve">        col("Days_for_shipping_real") - col("Days_for_shipment_scheduled")) \</w:t>
      </w:r>
    </w:p>
    <w:p>
      <w:pPr>
        <w:keepNext w:val="false"/>
        <w:shd w:fill="F2F2F2" w:val="clear"/>
        <w:spacing w:after="0" w:line="240"/>
        <w:ind w:left="340"/>
      </w:pPr>
      <w:r>
        <w:rPr>
          <w:rFonts w:ascii="Consolas" w:cs="Consolas" w:eastAsia="Consolas" w:hAnsi="Consolas"/>
          <w:sz w:val="17"/>
          <w:szCs w:val="17"/>
        </w:rPr>
        <w:t xml:space="preserve">    .withColumn("is_late",</w:t>
      </w:r>
    </w:p>
    <w:p>
      <w:pPr>
        <w:keepNext w:val="false"/>
        <w:shd w:fill="F2F2F2" w:val="clear"/>
        <w:spacing w:after="0" w:line="240"/>
        <w:ind w:left="340"/>
      </w:pPr>
      <w:r>
        <w:rPr>
          <w:rFonts w:ascii="Consolas" w:cs="Consolas" w:eastAsia="Consolas" w:hAnsi="Consolas"/>
          <w:sz w:val="17"/>
          <w:szCs w:val="17"/>
        </w:rPr>
        <w:t xml:space="preserve">        col("Days_for_shipping_real") &gt; col("Days_for_shipment_scheduled"))</w:t>
      </w:r>
    </w:p>
    <w:p>
      <w:pPr>
        <w:keepNext w:val="false"/>
        <w:shd w:fill="F2F2F2" w:val="clear"/>
        <w:spacing w:after="0" w:line="240"/>
        <w:ind w:left="340"/>
      </w:pPr>
      <w:r>
        <w:rPr>
          <w:rFonts w:ascii="Consolas" w:cs="Consolas" w:eastAsia="Consolas" w:hAnsi="Consolas"/>
          <w:sz w:val="17"/>
          <w:szCs w:val="17"/>
        </w:rPr>
        <w:t xml:space="preserve"> </w:t>
      </w:r>
    </w:p>
    <w:p>
      <w:pPr>
        <w:keepNext w:val="false"/>
        <w:shd w:fill="F2F2F2" w:val="clear"/>
        <w:spacing w:after="0" w:line="240"/>
        <w:ind w:left="340"/>
      </w:pPr>
      <w:r>
        <w:rPr>
          <w:rFonts w:ascii="Consolas" w:cs="Consolas" w:eastAsia="Consolas" w:hAnsi="Consolas"/>
          <w:sz w:val="17"/>
          <w:szCs w:val="17"/>
        </w:rPr>
        <w:t xml:space="preserve">fact_shipment.write.mode("overwrite").format("delta") \</w:t>
      </w:r>
    </w:p>
    <w:p>
      <w:pPr>
        <w:keepNext w:val="false"/>
        <w:shd w:fill="F2F2F2" w:val="clear"/>
        <w:spacing w:after="0" w:line="240"/>
        <w:ind w:left="340"/>
      </w:pPr>
      <w:r>
        <w:rPr>
          <w:rFonts w:ascii="Consolas" w:cs="Consolas" w:eastAsia="Consolas" w:hAnsi="Consolas"/>
          <w:sz w:val="17"/>
          <w:szCs w:val="17"/>
        </w:rPr>
        <w:t xml:space="preserve">    .saveAsTable("fact_shipment")</w:t>
      </w:r>
    </w:p>
    <w:p>
      <w:pPr>
        <w:keepNext w:val="false"/>
        <w:shd w:fill="F2F2F2" w:val="clear"/>
        <w:spacing w:after="0" w:line="240"/>
        <w:ind w:left="340"/>
      </w:pPr>
      <w:r>
        <w:rPr>
          <w:rFonts w:ascii="Consolas" w:cs="Consolas" w:eastAsia="Consolas" w:hAnsi="Consolas"/>
          <w:sz w:val="17"/>
          <w:szCs w:val="17"/>
        </w:rPr>
        <w:t xml:space="preserve"> </w:t>
      </w:r>
    </w:p>
    <w:p>
      <w:pPr>
        <w:keepNext w:val="false"/>
        <w:shd w:fill="F2F2F2" w:val="clear"/>
        <w:spacing w:after="0" w:line="240"/>
        <w:ind w:left="340"/>
      </w:pPr>
      <w:r>
        <w:rPr>
          <w:rFonts w:ascii="Consolas" w:cs="Consolas" w:eastAsia="Consolas" w:hAnsi="Consolas"/>
          <w:sz w:val="17"/>
          <w:szCs w:val="17"/>
        </w:rPr>
        <w:t xml:space="preserve"># --- Controle d integrite referentielle ---</w:t>
      </w:r>
    </w:p>
    <w:p>
      <w:pPr>
        <w:keepNext w:val="false"/>
        <w:shd w:fill="F2F2F2" w:val="clear"/>
        <w:spacing w:after="0" w:line="240"/>
        <w:ind w:left="340"/>
      </w:pPr>
      <w:r>
        <w:rPr>
          <w:rFonts w:ascii="Consolas" w:cs="Consolas" w:eastAsia="Consolas" w:hAnsi="Consolas"/>
          <w:sz w:val="17"/>
          <w:szCs w:val="17"/>
        </w:rPr>
        <w:t xml:space="preserve">orphans = fact_shipment.join(dim_supplier, "Department_Id", "left_anti").count()</w:t>
      </w:r>
    </w:p>
    <w:p>
      <w:pPr>
        <w:keepNext w:val="false"/>
        <w:shd w:fill="F2F2F2" w:val="clear"/>
        <w:spacing w:after="160" w:line="240"/>
        <w:ind w:left="340"/>
      </w:pPr>
      <w:r>
        <w:rPr>
          <w:rFonts w:ascii="Consolas" w:cs="Consolas" w:eastAsia="Consolas" w:hAnsi="Consolas"/>
          <w:sz w:val="17"/>
          <w:szCs w:val="17"/>
        </w:rPr>
        <w:t xml:space="preserve">print(f"Lignes orphelines (attendu 0) : {orphans}")</w:t>
      </w:r>
    </w:p>
    <w:p>
      <w:pPr>
        <w:pStyle w:val="Heading1"/>
        <w:pageBreakBefore/>
        <w:spacing w:after="200" w:before="0"/>
      </w:pPr>
      <w:r>
        <w:rPr>
          <w:b/>
          <w:bCs/>
          <w:color w:val="1F3864"/>
          <w:sz w:val="32"/>
          <w:szCs w:val="32"/>
        </w:rPr>
        <w:t xml:space="preserve">Annexe B — Code SQL</w:t>
      </w:r>
    </w:p>
    <w:p>
      <w:pPr>
        <w:pStyle w:val="Heading2"/>
        <w:spacing w:after="140" w:before="280"/>
      </w:pPr>
      <w:r>
        <w:rPr>
          <w:b/>
          <w:bCs/>
          <w:color w:val="2E5496"/>
          <w:sz w:val="26"/>
          <w:szCs w:val="26"/>
        </w:rPr>
        <w:t xml:space="preserve">B.1 Création de la vue analytique</w:t>
      </w:r>
    </w:p>
    <w:p>
      <w:pPr>
        <w:keepNext/>
        <w:shd w:fill="F2F2F2" w:val="clear"/>
        <w:spacing w:after="0" w:line="240"/>
        <w:ind w:left="340"/>
      </w:pPr>
      <w:r>
        <w:rPr>
          <w:rFonts w:ascii="Consolas" w:cs="Consolas" w:eastAsia="Consolas" w:hAnsi="Consolas"/>
          <w:sz w:val="17"/>
          <w:szCs w:val="17"/>
        </w:rPr>
        <w:t xml:space="preserve">CREATE VIEW vw_shipment_kpis AS</w:t>
      </w:r>
    </w:p>
    <w:p>
      <w:pPr>
        <w:keepNext/>
        <w:shd w:fill="F2F2F2" w:val="clear"/>
        <w:spacing w:after="0" w:line="240"/>
        <w:ind w:left="340"/>
      </w:pPr>
      <w:r>
        <w:rPr>
          <w:rFonts w:ascii="Consolas" w:cs="Consolas" w:eastAsia="Consolas" w:hAnsi="Consolas"/>
          <w:sz w:val="17"/>
          <w:szCs w:val="17"/>
        </w:rPr>
        <w:t xml:space="preserve">SELECT</w:t>
      </w:r>
    </w:p>
    <w:p>
      <w:pPr>
        <w:keepNext/>
        <w:shd w:fill="F2F2F2" w:val="clear"/>
        <w:spacing w:after="0" w:line="240"/>
        <w:ind w:left="340"/>
      </w:pPr>
      <w:r>
        <w:rPr>
          <w:rFonts w:ascii="Consolas" w:cs="Consolas" w:eastAsia="Consolas" w:hAnsi="Consolas"/>
          <w:sz w:val="17"/>
          <w:szCs w:val="17"/>
        </w:rPr>
        <w:t xml:space="preserve">    f.Department_Id,</w:t>
      </w:r>
    </w:p>
    <w:p>
      <w:pPr>
        <w:keepNext/>
        <w:shd w:fill="F2F2F2" w:val="clear"/>
        <w:spacing w:after="0" w:line="240"/>
        <w:ind w:left="340"/>
      </w:pPr>
      <w:r>
        <w:rPr>
          <w:rFonts w:ascii="Consolas" w:cs="Consolas" w:eastAsia="Consolas" w:hAnsi="Consolas"/>
          <w:sz w:val="17"/>
          <w:szCs w:val="17"/>
        </w:rPr>
        <w:t xml:space="preserve">    sup.Department_Name,</w:t>
      </w:r>
    </w:p>
    <w:p>
      <w:pPr>
        <w:keepNext/>
        <w:shd w:fill="F2F2F2" w:val="clear"/>
        <w:spacing w:after="0" w:line="240"/>
        <w:ind w:left="340"/>
      </w:pPr>
      <w:r>
        <w:rPr>
          <w:rFonts w:ascii="Consolas" w:cs="Consolas" w:eastAsia="Consolas" w:hAnsi="Consolas"/>
          <w:sz w:val="17"/>
          <w:szCs w:val="17"/>
        </w:rPr>
        <w:t xml:space="preserve">    f.Order_Region,</w:t>
      </w:r>
    </w:p>
    <w:p>
      <w:pPr>
        <w:keepNext/>
        <w:shd w:fill="F2F2F2" w:val="clear"/>
        <w:spacing w:after="0" w:line="240"/>
        <w:ind w:left="340"/>
      </w:pPr>
      <w:r>
        <w:rPr>
          <w:rFonts w:ascii="Consolas" w:cs="Consolas" w:eastAsia="Consolas" w:hAnsi="Consolas"/>
          <w:sz w:val="17"/>
          <w:szCs w:val="17"/>
        </w:rPr>
        <w:t xml:space="preserve">    d.year,</w:t>
      </w:r>
    </w:p>
    <w:p>
      <w:pPr>
        <w:keepNext/>
        <w:shd w:fill="F2F2F2" w:val="clear"/>
        <w:spacing w:after="0" w:line="240"/>
        <w:ind w:left="340"/>
      </w:pPr>
      <w:r>
        <w:rPr>
          <w:rFonts w:ascii="Consolas" w:cs="Consolas" w:eastAsia="Consolas" w:hAnsi="Consolas"/>
          <w:sz w:val="17"/>
          <w:szCs w:val="17"/>
        </w:rPr>
        <w:t xml:space="preserve">    d.month,</w:t>
      </w:r>
    </w:p>
    <w:p>
      <w:pPr>
        <w:keepNext/>
        <w:shd w:fill="F2F2F2" w:val="clear"/>
        <w:spacing w:after="0" w:line="240"/>
        <w:ind w:left="340"/>
      </w:pPr>
      <w:r>
        <w:rPr>
          <w:rFonts w:ascii="Consolas" w:cs="Consolas" w:eastAsia="Consolas" w:hAnsi="Consolas"/>
          <w:sz w:val="17"/>
          <w:szCs w:val="17"/>
        </w:rPr>
        <w:t xml:space="preserve">    d.month_name,</w:t>
      </w:r>
    </w:p>
    <w:p>
      <w:pPr>
        <w:keepNext/>
        <w:shd w:fill="F2F2F2" w:val="clear"/>
        <w:spacing w:after="0" w:line="240"/>
        <w:ind w:left="340"/>
      </w:pPr>
      <w:r>
        <w:rPr>
          <w:rFonts w:ascii="Consolas" w:cs="Consolas" w:eastAsia="Consolas" w:hAnsi="Consolas"/>
          <w:sz w:val="17"/>
          <w:szCs w:val="17"/>
        </w:rPr>
        <w:t xml:space="preserve">    COUNT(*) AS total_shipments,</w:t>
      </w:r>
    </w:p>
    <w:p>
      <w:pPr>
        <w:keepNext/>
        <w:shd w:fill="F2F2F2" w:val="clear"/>
        <w:spacing w:after="0" w:line="240"/>
        <w:ind w:left="340"/>
      </w:pPr>
      <w:r>
        <w:rPr>
          <w:rFonts w:ascii="Consolas" w:cs="Consolas" w:eastAsia="Consolas" w:hAnsi="Consolas"/>
          <w:sz w:val="17"/>
          <w:szCs w:val="17"/>
        </w:rPr>
        <w:t xml:space="preserve">    SUM(CASE WHEN f.is_late = 0 THEN 1 ELSE 0 END) * 100.0</w:t>
      </w:r>
    </w:p>
    <w:p>
      <w:pPr>
        <w:keepNext/>
        <w:shd w:fill="F2F2F2" w:val="clear"/>
        <w:spacing w:after="0" w:line="240"/>
        <w:ind w:left="340"/>
      </w:pPr>
      <w:r>
        <w:rPr>
          <w:rFonts w:ascii="Consolas" w:cs="Consolas" w:eastAsia="Consolas" w:hAnsi="Consolas"/>
          <w:sz w:val="17"/>
          <w:szCs w:val="17"/>
        </w:rPr>
        <w:t xml:space="preserve">        / COUNT(*) AS on_time_delivery_pct,</w:t>
      </w:r>
    </w:p>
    <w:p>
      <w:pPr>
        <w:keepNext/>
        <w:shd w:fill="F2F2F2" w:val="clear"/>
        <w:spacing w:after="0" w:line="240"/>
        <w:ind w:left="340"/>
      </w:pPr>
      <w:r>
        <w:rPr>
          <w:rFonts w:ascii="Consolas" w:cs="Consolas" w:eastAsia="Consolas" w:hAnsi="Consolas"/>
          <w:sz w:val="17"/>
          <w:szCs w:val="17"/>
        </w:rPr>
        <w:t xml:space="preserve">    AVG(CAST(f.lead_time_days AS FLOAT)) AS avg_lead_time_days,</w:t>
      </w:r>
    </w:p>
    <w:p>
      <w:pPr>
        <w:keepNext/>
        <w:shd w:fill="F2F2F2" w:val="clear"/>
        <w:spacing w:after="0" w:line="240"/>
        <w:ind w:left="340"/>
      </w:pPr>
      <w:r>
        <w:rPr>
          <w:rFonts w:ascii="Consolas" w:cs="Consolas" w:eastAsia="Consolas" w:hAnsi="Consolas"/>
          <w:sz w:val="17"/>
          <w:szCs w:val="17"/>
        </w:rPr>
        <w:t xml:space="preserve">    AVG(CAST(f.delay_days AS FLOAT))     AS avg_delay_days,</w:t>
      </w:r>
    </w:p>
    <w:p>
      <w:pPr>
        <w:keepNext/>
        <w:shd w:fill="F2F2F2" w:val="clear"/>
        <w:spacing w:after="0" w:line="240"/>
        <w:ind w:left="340"/>
      </w:pPr>
      <w:r>
        <w:rPr>
          <w:rFonts w:ascii="Consolas" w:cs="Consolas" w:eastAsia="Consolas" w:hAnsi="Consolas"/>
          <w:sz w:val="17"/>
          <w:szCs w:val="17"/>
        </w:rPr>
        <w:t xml:space="preserve">    SUM(f.Sales)                         AS total_sales,</w:t>
      </w:r>
    </w:p>
    <w:p>
      <w:pPr>
        <w:keepNext/>
        <w:shd w:fill="F2F2F2" w:val="clear"/>
        <w:spacing w:after="0" w:line="240"/>
        <w:ind w:left="340"/>
      </w:pPr>
      <w:r>
        <w:rPr>
          <w:rFonts w:ascii="Consolas" w:cs="Consolas" w:eastAsia="Consolas" w:hAnsi="Consolas"/>
          <w:sz w:val="17"/>
          <w:szCs w:val="17"/>
        </w:rPr>
        <w:t xml:space="preserve">    SUM(f.Order_Profit_Per_Order)        AS total_profit</w:t>
      </w:r>
    </w:p>
    <w:p>
      <w:pPr>
        <w:keepNext/>
        <w:shd w:fill="F2F2F2" w:val="clear"/>
        <w:spacing w:after="0" w:line="240"/>
        <w:ind w:left="340"/>
      </w:pPr>
      <w:r>
        <w:rPr>
          <w:rFonts w:ascii="Consolas" w:cs="Consolas" w:eastAsia="Consolas" w:hAnsi="Consolas"/>
          <w:sz w:val="17"/>
          <w:szCs w:val="17"/>
        </w:rPr>
        <w:t xml:space="preserve">FROM SupplyChain_Lakehouse.dbo.fact_shipment f</w:t>
      </w:r>
    </w:p>
    <w:p>
      <w:pPr>
        <w:keepNext/>
        <w:shd w:fill="F2F2F2" w:val="clear"/>
        <w:spacing w:after="0" w:line="240"/>
        <w:ind w:left="340"/>
      </w:pPr>
      <w:r>
        <w:rPr>
          <w:rFonts w:ascii="Consolas" w:cs="Consolas" w:eastAsia="Consolas" w:hAnsi="Consolas"/>
          <w:sz w:val="17"/>
          <w:szCs w:val="17"/>
        </w:rPr>
        <w:t xml:space="preserve">JOIN SupplyChain_Lakehouse.dbo.dim_supplier sup</w:t>
      </w:r>
    </w:p>
    <w:p>
      <w:pPr>
        <w:keepNext/>
        <w:shd w:fill="F2F2F2" w:val="clear"/>
        <w:spacing w:after="0" w:line="240"/>
        <w:ind w:left="340"/>
      </w:pPr>
      <w:r>
        <w:rPr>
          <w:rFonts w:ascii="Consolas" w:cs="Consolas" w:eastAsia="Consolas" w:hAnsi="Consolas"/>
          <w:sz w:val="17"/>
          <w:szCs w:val="17"/>
        </w:rPr>
        <w:t xml:space="preserve">     ON f.Department_Id = sup.Department_Id</w:t>
      </w:r>
    </w:p>
    <w:p>
      <w:pPr>
        <w:keepNext/>
        <w:shd w:fill="F2F2F2" w:val="clear"/>
        <w:spacing w:after="0" w:line="240"/>
        <w:ind w:left="340"/>
      </w:pPr>
      <w:r>
        <w:rPr>
          <w:rFonts w:ascii="Consolas" w:cs="Consolas" w:eastAsia="Consolas" w:hAnsi="Consolas"/>
          <w:sz w:val="17"/>
          <w:szCs w:val="17"/>
        </w:rPr>
        <w:t xml:space="preserve">JOIN SupplyChain_Lakehouse.dbo.dim_date d</w:t>
      </w:r>
    </w:p>
    <w:p>
      <w:pPr>
        <w:keepNext/>
        <w:shd w:fill="F2F2F2" w:val="clear"/>
        <w:spacing w:after="0" w:line="240"/>
        <w:ind w:left="340"/>
      </w:pPr>
      <w:r>
        <w:rPr>
          <w:rFonts w:ascii="Consolas" w:cs="Consolas" w:eastAsia="Consolas" w:hAnsi="Consolas"/>
          <w:sz w:val="17"/>
          <w:szCs w:val="17"/>
        </w:rPr>
        <w:t xml:space="preserve">     ON f.order_date = d.full_date</w:t>
      </w:r>
    </w:p>
    <w:p>
      <w:pPr>
        <w:keepNext/>
        <w:shd w:fill="F2F2F2" w:val="clear"/>
        <w:spacing w:after="0" w:line="240"/>
        <w:ind w:left="340"/>
      </w:pPr>
      <w:r>
        <w:rPr>
          <w:rFonts w:ascii="Consolas" w:cs="Consolas" w:eastAsia="Consolas" w:hAnsi="Consolas"/>
          <w:sz w:val="17"/>
          <w:szCs w:val="17"/>
        </w:rPr>
        <w:t xml:space="preserve">GROUP BY f.Department_Id, sup.Department_Name, f.Order_Region,</w:t>
      </w:r>
    </w:p>
    <w:p>
      <w:pPr>
        <w:keepNext w:val="false"/>
        <w:shd w:fill="F2F2F2" w:val="clear"/>
        <w:spacing w:after="160" w:line="240"/>
        <w:ind w:left="340"/>
      </w:pPr>
      <w:r>
        <w:rPr>
          <w:rFonts w:ascii="Consolas" w:cs="Consolas" w:eastAsia="Consolas" w:hAnsi="Consolas"/>
          <w:sz w:val="17"/>
          <w:szCs w:val="17"/>
        </w:rPr>
        <w:t xml:space="preserve">         d.year, d.month, d.month_name;</w:t>
      </w:r>
    </w:p>
    <w:p>
      <w:pPr>
        <w:pStyle w:val="Heading2"/>
        <w:spacing w:after="140" w:before="280"/>
      </w:pPr>
      <w:r>
        <w:rPr>
          <w:b/>
          <w:bCs/>
          <w:color w:val="2E5496"/>
          <w:sz w:val="26"/>
          <w:szCs w:val="26"/>
        </w:rPr>
        <w:t xml:space="preserve">B.2 Requête de validation des volumes</w:t>
      </w:r>
    </w:p>
    <w:p>
      <w:pPr>
        <w:keepNext/>
        <w:shd w:fill="F2F2F2" w:val="clear"/>
        <w:spacing w:after="0" w:line="240"/>
        <w:ind w:left="340"/>
      </w:pPr>
      <w:r>
        <w:rPr>
          <w:rFonts w:ascii="Consolas" w:cs="Consolas" w:eastAsia="Consolas" w:hAnsi="Consolas"/>
          <w:sz w:val="17"/>
          <w:szCs w:val="17"/>
        </w:rPr>
        <w:t xml:space="preserve">SELECT 'silver_orders' AS table_name, COUNT(*) AS row_count</w:t>
      </w:r>
    </w:p>
    <w:p>
      <w:pPr>
        <w:keepNext/>
        <w:shd w:fill="F2F2F2" w:val="clear"/>
        <w:spacing w:after="0" w:line="240"/>
        <w:ind w:left="340"/>
      </w:pPr>
      <w:r>
        <w:rPr>
          <w:rFonts w:ascii="Consolas" w:cs="Consolas" w:eastAsia="Consolas" w:hAnsi="Consolas"/>
          <w:sz w:val="17"/>
          <w:szCs w:val="17"/>
        </w:rPr>
        <w:t xml:space="preserve">FROM SupplyChain_Lakehouse.dbo.silver_orders</w:t>
      </w:r>
    </w:p>
    <w:p>
      <w:pPr>
        <w:keepNext/>
        <w:shd w:fill="F2F2F2" w:val="clear"/>
        <w:spacing w:after="0" w:line="240"/>
        <w:ind w:left="340"/>
      </w:pPr>
      <w:r>
        <w:rPr>
          <w:rFonts w:ascii="Consolas" w:cs="Consolas" w:eastAsia="Consolas" w:hAnsi="Consolas"/>
          <w:sz w:val="17"/>
          <w:szCs w:val="17"/>
        </w:rPr>
        <w:t xml:space="preserve">UNION ALL</w:t>
      </w:r>
    </w:p>
    <w:p>
      <w:pPr>
        <w:keepNext/>
        <w:shd w:fill="F2F2F2" w:val="clear"/>
        <w:spacing w:after="0" w:line="240"/>
        <w:ind w:left="340"/>
      </w:pPr>
      <w:r>
        <w:rPr>
          <w:rFonts w:ascii="Consolas" w:cs="Consolas" w:eastAsia="Consolas" w:hAnsi="Consolas"/>
          <w:sz w:val="17"/>
          <w:szCs w:val="17"/>
        </w:rPr>
        <w:t xml:space="preserve">SELECT 'fact_shipment', COUNT(*)</w:t>
      </w:r>
    </w:p>
    <w:p>
      <w:pPr>
        <w:keepNext/>
        <w:shd w:fill="F2F2F2" w:val="clear"/>
        <w:spacing w:after="0" w:line="240"/>
        <w:ind w:left="340"/>
      </w:pPr>
      <w:r>
        <w:rPr>
          <w:rFonts w:ascii="Consolas" w:cs="Consolas" w:eastAsia="Consolas" w:hAnsi="Consolas"/>
          <w:sz w:val="17"/>
          <w:szCs w:val="17"/>
        </w:rPr>
        <w:t xml:space="preserve">FROM SupplyChain_Lakehouse.dbo.fact_shipment</w:t>
      </w:r>
    </w:p>
    <w:p>
      <w:pPr>
        <w:keepNext/>
        <w:shd w:fill="F2F2F2" w:val="clear"/>
        <w:spacing w:after="0" w:line="240"/>
        <w:ind w:left="340"/>
      </w:pPr>
      <w:r>
        <w:rPr>
          <w:rFonts w:ascii="Consolas" w:cs="Consolas" w:eastAsia="Consolas" w:hAnsi="Consolas"/>
          <w:sz w:val="17"/>
          <w:szCs w:val="17"/>
        </w:rPr>
        <w:t xml:space="preserve">UNION ALL</w:t>
      </w:r>
    </w:p>
    <w:p>
      <w:pPr>
        <w:keepNext/>
        <w:shd w:fill="F2F2F2" w:val="clear"/>
        <w:spacing w:after="0" w:line="240"/>
        <w:ind w:left="340"/>
      </w:pPr>
      <w:r>
        <w:rPr>
          <w:rFonts w:ascii="Consolas" w:cs="Consolas" w:eastAsia="Consolas" w:hAnsi="Consolas"/>
          <w:sz w:val="17"/>
          <w:szCs w:val="17"/>
        </w:rPr>
        <w:t xml:space="preserve">SELECT 'dim_supplier', COUNT(*)</w:t>
      </w:r>
    </w:p>
    <w:p>
      <w:pPr>
        <w:keepNext/>
        <w:shd w:fill="F2F2F2" w:val="clear"/>
        <w:spacing w:after="0" w:line="240"/>
        <w:ind w:left="340"/>
      </w:pPr>
      <w:r>
        <w:rPr>
          <w:rFonts w:ascii="Consolas" w:cs="Consolas" w:eastAsia="Consolas" w:hAnsi="Consolas"/>
          <w:sz w:val="17"/>
          <w:szCs w:val="17"/>
        </w:rPr>
        <w:t xml:space="preserve">FROM SupplyChain_Lakehouse.dbo.dim_supplier</w:t>
      </w:r>
    </w:p>
    <w:p>
      <w:pPr>
        <w:keepNext/>
        <w:shd w:fill="F2F2F2" w:val="clear"/>
        <w:spacing w:after="0" w:line="240"/>
        <w:ind w:left="340"/>
      </w:pPr>
      <w:r>
        <w:rPr>
          <w:rFonts w:ascii="Consolas" w:cs="Consolas" w:eastAsia="Consolas" w:hAnsi="Consolas"/>
          <w:sz w:val="17"/>
          <w:szCs w:val="17"/>
        </w:rPr>
        <w:t xml:space="preserve">UNION ALL</w:t>
      </w:r>
    </w:p>
    <w:p>
      <w:pPr>
        <w:keepNext/>
        <w:shd w:fill="F2F2F2" w:val="clear"/>
        <w:spacing w:after="0" w:line="240"/>
        <w:ind w:left="340"/>
      </w:pPr>
      <w:r>
        <w:rPr>
          <w:rFonts w:ascii="Consolas" w:cs="Consolas" w:eastAsia="Consolas" w:hAnsi="Consolas"/>
          <w:sz w:val="17"/>
          <w:szCs w:val="17"/>
        </w:rPr>
        <w:t xml:space="preserve">SELECT 'dim_date', COUNT(*)</w:t>
      </w:r>
    </w:p>
    <w:p>
      <w:pPr>
        <w:keepNext w:val="false"/>
        <w:shd w:fill="F2F2F2" w:val="clear"/>
        <w:spacing w:after="160" w:line="240"/>
        <w:ind w:left="340"/>
      </w:pPr>
      <w:r>
        <w:rPr>
          <w:rFonts w:ascii="Consolas" w:cs="Consolas" w:eastAsia="Consolas" w:hAnsi="Consolas"/>
          <w:sz w:val="17"/>
          <w:szCs w:val="17"/>
        </w:rPr>
        <w:t xml:space="preserve">FROM SupplyChain_Lakehouse.dbo.dim_date;</w:t>
      </w:r>
    </w:p>
    <w:p>
      <w:pPr>
        <w:pStyle w:val="Heading2"/>
        <w:spacing w:after="140" w:before="280"/>
      </w:pPr>
      <w:r>
        <w:rPr>
          <w:b/>
          <w:bCs/>
          <w:color w:val="2E5496"/>
          <w:sz w:val="26"/>
          <w:szCs w:val="26"/>
        </w:rPr>
        <w:t xml:space="preserve">B.3 Mesures DAX</w:t>
      </w:r>
    </w:p>
    <w:p>
      <w:pPr>
        <w:keepNext/>
        <w:shd w:fill="F2F2F2" w:val="clear"/>
        <w:spacing w:after="0" w:line="240"/>
        <w:ind w:left="340"/>
      </w:pPr>
      <w:r>
        <w:rPr>
          <w:rFonts w:ascii="Consolas" w:cs="Consolas" w:eastAsia="Consolas" w:hAnsi="Consolas"/>
          <w:sz w:val="17"/>
          <w:szCs w:val="17"/>
        </w:rPr>
        <w:t xml:space="preserve">Ventes Totales = SUM(fact_shipment[Sales])</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Benefice Total = SUM(fact_shipment[Order_Profit_Per_Order])</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Total des Expeditions = COUNTROWS(fact_shipment)</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Delai Moyen de Livraison = AVERAGE(fact_shipment[lead_time_days])</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Retard Moyen (Jours) = AVERAGE(fact_shipment[delay_days])</w:t>
      </w:r>
    </w:p>
    <w:p>
      <w:pPr>
        <w:keepNext/>
        <w:shd w:fill="F2F2F2" w:val="clear"/>
        <w:spacing w:after="0" w:line="240"/>
        <w:ind w:left="340"/>
      </w:pPr>
      <w:r>
        <w:rPr>
          <w:rFonts w:ascii="Consolas" w:cs="Consolas" w:eastAsia="Consolas" w:hAnsi="Consolas"/>
          <w:sz w:val="17"/>
          <w:szCs w:val="17"/>
        </w:rPr>
        <w:t xml:space="preserve"> </w:t>
      </w:r>
    </w:p>
    <w:p>
      <w:pPr>
        <w:keepNext/>
        <w:shd w:fill="F2F2F2" w:val="clear"/>
        <w:spacing w:after="0" w:line="240"/>
        <w:ind w:left="340"/>
      </w:pPr>
      <w:r>
        <w:rPr>
          <w:rFonts w:ascii="Consolas" w:cs="Consolas" w:eastAsia="Consolas" w:hAnsi="Consolas"/>
          <w:sz w:val="17"/>
          <w:szCs w:val="17"/>
        </w:rPr>
        <w:t xml:space="preserve">Taux de Livraison a Temps =</w:t>
      </w:r>
    </w:p>
    <w:p>
      <w:pPr>
        <w:keepNext/>
        <w:shd w:fill="F2F2F2" w:val="clear"/>
        <w:spacing w:after="0" w:line="240"/>
        <w:ind w:left="340"/>
      </w:pPr>
      <w:r>
        <w:rPr>
          <w:rFonts w:ascii="Consolas" w:cs="Consolas" w:eastAsia="Consolas" w:hAnsi="Consolas"/>
          <w:sz w:val="17"/>
          <w:szCs w:val="17"/>
        </w:rPr>
        <w:t xml:space="preserve">DIVIDE(</w:t>
      </w:r>
    </w:p>
    <w:p>
      <w:pPr>
        <w:keepNext/>
        <w:shd w:fill="F2F2F2" w:val="clear"/>
        <w:spacing w:after="0" w:line="240"/>
        <w:ind w:left="340"/>
      </w:pPr>
      <w:r>
        <w:rPr>
          <w:rFonts w:ascii="Consolas" w:cs="Consolas" w:eastAsia="Consolas" w:hAnsi="Consolas"/>
          <w:sz w:val="17"/>
          <w:szCs w:val="17"/>
        </w:rPr>
        <w:t xml:space="preserve">    COUNTROWS(FILTER(fact_shipment; fact_shipment[is_late] = FALSE()));</w:t>
      </w:r>
    </w:p>
    <w:p>
      <w:pPr>
        <w:keepNext/>
        <w:shd w:fill="F2F2F2" w:val="clear"/>
        <w:spacing w:after="0" w:line="240"/>
        <w:ind w:left="340"/>
      </w:pPr>
      <w:r>
        <w:rPr>
          <w:rFonts w:ascii="Consolas" w:cs="Consolas" w:eastAsia="Consolas" w:hAnsi="Consolas"/>
          <w:sz w:val="17"/>
          <w:szCs w:val="17"/>
        </w:rPr>
        <w:t xml:space="preserve">    COUNTROWS(fact_shipment)</w:t>
      </w:r>
    </w:p>
    <w:p>
      <w:pPr>
        <w:keepNext w:val="false"/>
        <w:shd w:fill="F2F2F2" w:val="clear"/>
        <w:spacing w:after="160" w:line="240"/>
        <w:ind w:left="340"/>
      </w:pPr>
      <w:r>
        <w:rPr>
          <w:rFonts w:ascii="Consolas" w:cs="Consolas" w:eastAsia="Consolas" w:hAnsi="Consolas"/>
          <w:sz w:val="17"/>
          <w:szCs w:val="17"/>
        </w:rPr>
        <w:t xml:space="preser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6600e72b96cb067c13e0d5566cc940460bbe9b0.png"/><Relationship Id="rId9" Type="http://schemas.openxmlformats.org/officeDocument/2006/relationships/image" Target="media/4e13f3322b7575828d752c4f7c0daa636868c48c.png"/><Relationship Id="rId10" Type="http://schemas.openxmlformats.org/officeDocument/2006/relationships/image" Target="media/3f05efc54626e4e5317f3e058d95a5b7d0ca73df.png"/><Relationship Id="rId11" Type="http://schemas.openxmlformats.org/officeDocument/2006/relationships/image" Target="media/bb45e7168805274600fc874bfbd0e490af906f73.png"/><Relationship Id="rId12" Type="http://schemas.openxmlformats.org/officeDocument/2006/relationships/image" Target="media/5fea0a7be5bcb61753c07842fb779e699a7bde67.png"/><Relationship Id="rId13" Type="http://schemas.openxmlformats.org/officeDocument/2006/relationships/image" Target="media/ed7619f8ca0d0a5f3ef8ab80b2afc435d386ce6f.png"/><Relationship Id="rId14" Type="http://schemas.openxmlformats.org/officeDocument/2006/relationships/image" Target="media/0c86594fb04f6457844f9b33a201e1b866a21b10.png"/><Relationship Id="rId15" Type="http://schemas.openxmlformats.org/officeDocument/2006/relationships/image" Target="media/5d0bb3000f366bcf50e7bfc1c311486f12d10822.png"/><Relationship Id="rId16" Type="http://schemas.openxmlformats.org/officeDocument/2006/relationships/image" Target="media/6ee096766a3f8fdf25073a07da9b535e9eb8bb7b.png"/><Relationship Id="rId17" Type="http://schemas.openxmlformats.org/officeDocument/2006/relationships/image" Target="media/ec7355a02c11542cd1389562f657e3aa3bb9ab9c.png"/><Relationship Id="rId18" Type="http://schemas.openxmlformats.org/officeDocument/2006/relationships/image" Target="media/289de4556ccfa6d6f443808c3d19b6b403d2a4b3.png"/><Relationship Id="rId19" Type="http://schemas.openxmlformats.org/officeDocument/2006/relationships/image" Target="media/bbb4c19ed3db52b59c15ef0be0aa85a900830937.png"/><Relationship Id="rId20" Type="http://schemas.openxmlformats.org/officeDocument/2006/relationships/image" Target="media/6568fc0953379b52c50eacb1f69304973ddb14f8.png"/><Relationship Id="rId21" Type="http://schemas.openxmlformats.org/officeDocument/2006/relationships/image" Target="media/4ea35f700bd39a31e3f5b872ffdca157f0d768a6.png"/><Relationship Id="rId22" Type="http://schemas.openxmlformats.org/officeDocument/2006/relationships/image" Target="media/ce6cf812edf898aa7d08b6348b3292d013829fbd.png"/><Relationship Id="rId23" Type="http://schemas.openxmlformats.org/officeDocument/2006/relationships/image" Target="media/80b9c2bfb6ddd3d4828d20fb330cdcf42c699cb2.png"/><Relationship Id="rId24" Type="http://schemas.openxmlformats.org/officeDocument/2006/relationships/image" Target="media/7ab1c568e1d8ccafcc9e485aac8023201f42f64e.png"/><Relationship Id="rId25" Type="http://schemas.openxmlformats.org/officeDocument/2006/relationships/image" Target="media/3a230b08da925fa0289f98d9c85e1ec5aa9892c8.png"/><Relationship Id="rId26" Type="http://schemas.openxmlformats.org/officeDocument/2006/relationships/image" Target="media/76840dc6727854d2b94c52b01c4f89107bac0d6b.png"/><Relationship Id="rId27" Type="http://schemas.openxmlformats.org/officeDocument/2006/relationships/image" Target="media/2d21bdc86f9deb59ba953dcaae43b11a42cb9370.png"/><Relationship Id="rId28" Type="http://schemas.openxmlformats.org/officeDocument/2006/relationships/image" Target="media/f3877bca86e618187e80dccf96befbaf965cab51.png"/><Relationship Id="rId29" Type="http://schemas.openxmlformats.org/officeDocument/2006/relationships/image" Target="media/6074cb897f906df593db565336f71ab0e8bc8caf.png"/><Relationship Id="rId30" Type="http://schemas.openxmlformats.org/officeDocument/2006/relationships/image" Target="media/e45e2a2e36c9be25dd53c60d2a69c9b7f191e751.png"/><Relationship Id="rId31" Type="http://schemas.openxmlformats.org/officeDocument/2006/relationships/image" Target="media/366e33d462adec0b49de8b83cde296c2e42bf6ad.png"/><Relationship Id="rId32" Type="http://schemas.openxmlformats.org/officeDocument/2006/relationships/image" Target="media/358b9a60ca89a0f8da48a8354585dd79f7d5f042.png"/><Relationship Id="rId33" Type="http://schemas.openxmlformats.org/officeDocument/2006/relationships/image" Target="media/c4456cb4dd67d7730cbfaee56f802b837773777b.png"/><Relationship Id="rId34" Type="http://schemas.openxmlformats.org/officeDocument/2006/relationships/image" Target="media/9d638ba595b08a169c5248965e18e676e009f708.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 Pipeline de données Chaîne d’approvisionnement</dc:title>
  <dc:creator>Harishankar Murugan</dc:creator>
  <dc:description>Rapport de projet d’ingénierie des données</dc:description>
  <cp:lastModifiedBy>Un-named</cp:lastModifiedBy>
  <cp:revision>1</cp:revision>
  <dcterms:created xsi:type="dcterms:W3CDTF">2026-09-16T08:32:32.363Z</dcterms:created>
  <dcterms:modified xsi:type="dcterms:W3CDTF">2026-09-16T08:32:32.371Z</dcterms:modified>
</cp:coreProperties>
</file>

<file path=docProps/custom.xml><?xml version="1.0" encoding="utf-8"?>
<Properties xmlns="http://schemas.openxmlformats.org/officeDocument/2006/custom-properties" xmlns:vt="http://schemas.openxmlformats.org/officeDocument/2006/docPropsVTypes"/>
</file>