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EE" w:rsidRDefault="008C6B5C">
      <w:pPr>
        <w:spacing w:after="0"/>
        <w:ind w:left="1"/>
        <w:jc w:val="center"/>
        <w:rPr>
          <w:rFonts w:ascii="Times New Roman" w:eastAsia="Times New Roman" w:hAnsi="Times New Roman" w:cs="Times New Roman"/>
          <w:b/>
          <w:color w:val="000000"/>
          <w:sz w:val="28"/>
        </w:rPr>
      </w:pPr>
      <w:bookmarkStart w:id="0" w:name="_GoBack"/>
      <w:bookmarkEnd w:id="0"/>
      <w:r>
        <w:rPr>
          <w:rFonts w:ascii="Times New Roman" w:eastAsia="Times New Roman" w:hAnsi="Times New Roman" w:cs="Times New Roman"/>
          <w:b/>
          <w:color w:val="000000"/>
          <w:sz w:val="28"/>
        </w:rPr>
        <w:t>Project Design Phase-II</w:t>
      </w:r>
    </w:p>
    <w:p w:rsidR="00E00BEE" w:rsidRDefault="008C6B5C">
      <w:pPr>
        <w:spacing w:after="0"/>
        <w:ind w:left="1"/>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Solution Architecture (Functional &amp; Non-Functional)</w:t>
      </w:r>
    </w:p>
    <w:p w:rsidR="00E00BEE" w:rsidRDefault="008C6B5C">
      <w:pPr>
        <w:spacing w:after="0"/>
        <w:ind w:left="4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tbl>
      <w:tblPr>
        <w:tblW w:w="0" w:type="auto"/>
        <w:tblInd w:w="5" w:type="dxa"/>
        <w:tblCellMar>
          <w:left w:w="10" w:type="dxa"/>
          <w:right w:w="10" w:type="dxa"/>
        </w:tblCellMar>
        <w:tblLook w:val="0000" w:firstRow="0" w:lastRow="0" w:firstColumn="0" w:lastColumn="0" w:noHBand="0" w:noVBand="0"/>
      </w:tblPr>
      <w:tblGrid>
        <w:gridCol w:w="4508"/>
        <w:gridCol w:w="4844"/>
      </w:tblGrid>
      <w:tr w:rsidR="00E00BEE">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16th  October 2022 </w:t>
            </w:r>
          </w:p>
        </w:tc>
      </w:tr>
      <w:tr w:rsidR="00E00BEE">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B31862">
            <w:pPr>
              <w:spacing w:after="0" w:line="240" w:lineRule="auto"/>
            </w:pPr>
            <w:r w:rsidRPr="00B31862">
              <w:rPr>
                <w:rFonts w:ascii="Arial" w:eastAsia="Arial" w:hAnsi="Arial" w:cs="Arial"/>
                <w:color w:val="222222"/>
                <w:shd w:val="clear" w:color="auto" w:fill="FFFFFF"/>
              </w:rPr>
              <w:t>PNT2022TMID52458</w:t>
            </w:r>
          </w:p>
        </w:tc>
      </w:tr>
      <w:tr w:rsidR="00E00BEE">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DEMANDEST – AI POWERED FOOD DEMAND FORECASTER</w:t>
            </w:r>
          </w:p>
        </w:tc>
      </w:tr>
      <w:tr w:rsidR="00E00BEE">
        <w:tblPrEx>
          <w:tblCellMar>
            <w:top w:w="0" w:type="dxa"/>
            <w:bottom w:w="0" w:type="dxa"/>
          </w:tblCellMar>
        </w:tblPrEx>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 xml:space="preserve">4 Marks </w:t>
            </w:r>
          </w:p>
        </w:tc>
      </w:tr>
    </w:tbl>
    <w:p w:rsidR="00E00BEE" w:rsidRDefault="008C6B5C">
      <w:pP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00BEE" w:rsidRDefault="008C6B5C">
      <w:pPr>
        <w:spacing w:after="159"/>
        <w:ind w:left="-5"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Functional Requirements: </w:t>
      </w:r>
    </w:p>
    <w:p w:rsidR="00E00BEE" w:rsidRDefault="008C6B5C">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Following are the Functional Requirements of the Solution Architecture. </w:t>
      </w:r>
    </w:p>
    <w:p w:rsidR="00E00BEE" w:rsidRDefault="00E00BEE">
      <w:pPr>
        <w:spacing w:after="0"/>
        <w:ind w:left="-5" w:hanging="10"/>
        <w:rPr>
          <w:rFonts w:ascii="Times New Roman" w:eastAsia="Times New Roman" w:hAnsi="Times New Roman" w:cs="Times New Roman"/>
          <w:color w:val="000000"/>
          <w:sz w:val="24"/>
        </w:rPr>
      </w:pPr>
    </w:p>
    <w:tbl>
      <w:tblPr>
        <w:tblW w:w="0" w:type="auto"/>
        <w:tblInd w:w="5" w:type="dxa"/>
        <w:tblCellMar>
          <w:left w:w="10" w:type="dxa"/>
          <w:right w:w="10" w:type="dxa"/>
        </w:tblCellMar>
        <w:tblLook w:val="0000" w:firstRow="0" w:lastRow="0" w:firstColumn="0" w:lastColumn="0" w:noHBand="0" w:noVBand="0"/>
      </w:tblPr>
      <w:tblGrid>
        <w:gridCol w:w="943"/>
        <w:gridCol w:w="3207"/>
        <w:gridCol w:w="5348"/>
      </w:tblGrid>
      <w:tr w:rsidR="00E00BEE">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FR No.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Functional Requirement (Epic)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Sub Requirement (Story / Sub-Task) </w:t>
            </w:r>
          </w:p>
        </w:tc>
      </w:tr>
      <w:tr w:rsidR="00E00BEE">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FR-1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User Registration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Registration through Form </w:t>
            </w:r>
          </w:p>
          <w:p w:rsidR="00E00BEE" w:rsidRDefault="008C6B5C">
            <w:pPr>
              <w:spacing w:after="0" w:line="240" w:lineRule="auto"/>
            </w:pPr>
            <w:r>
              <w:rPr>
                <w:rFonts w:ascii="Times New Roman" w:eastAsia="Times New Roman" w:hAnsi="Times New Roman" w:cs="Times New Roman"/>
                <w:color w:val="000000"/>
                <w:sz w:val="24"/>
              </w:rPr>
              <w:t>Registration through Gmail</w:t>
            </w:r>
          </w:p>
        </w:tc>
      </w:tr>
      <w:tr w:rsidR="00E00BEE">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FR-2 </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User Confirmation </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ind w:right="1768"/>
            </w:pPr>
            <w:r>
              <w:rPr>
                <w:rFonts w:ascii="Times New Roman" w:eastAsia="Times New Roman" w:hAnsi="Times New Roman" w:cs="Times New Roman"/>
                <w:color w:val="000000"/>
                <w:sz w:val="24"/>
              </w:rPr>
              <w:t xml:space="preserve">Confirmation via Email Confirmation via OTP </w:t>
            </w:r>
          </w:p>
        </w:tc>
      </w:tr>
      <w:tr w:rsidR="00E00BEE">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FR-3</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Website Entry</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Collecting user’s data and storing it in the Database</w:t>
            </w:r>
          </w:p>
        </w:tc>
      </w:tr>
      <w:tr w:rsidR="00E00BEE">
        <w:tblPrEx>
          <w:tblCellMar>
            <w:top w:w="0" w:type="dxa"/>
            <w:bottom w:w="0" w:type="dxa"/>
          </w:tblCellMar>
        </w:tblPrEx>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FR-4</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Permissions</w:t>
            </w:r>
          </w:p>
        </w:tc>
        <w:tc>
          <w:tcPr>
            <w:tcW w:w="53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color w:val="000000"/>
                <w:sz w:val="24"/>
              </w:rPr>
              <w:t>Location, Storage, Contacts</w:t>
            </w:r>
          </w:p>
        </w:tc>
      </w:tr>
    </w:tbl>
    <w:p w:rsidR="00E00BEE" w:rsidRDefault="008C6B5C">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00BEE" w:rsidRDefault="008C6B5C">
      <w:pPr>
        <w:spacing w:after="158"/>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00BEE" w:rsidRDefault="008C6B5C">
      <w:pPr>
        <w:spacing w:after="158"/>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ind w:left="-5" w:hanging="10"/>
        <w:rPr>
          <w:rFonts w:ascii="Times New Roman" w:eastAsia="Times New Roman" w:hAnsi="Times New Roman" w:cs="Times New Roman"/>
          <w:b/>
          <w:color w:val="000000"/>
          <w:sz w:val="24"/>
        </w:rPr>
      </w:pPr>
    </w:p>
    <w:p w:rsidR="00E00BEE" w:rsidRDefault="00E00BEE">
      <w:pPr>
        <w:spacing w:after="159"/>
        <w:rPr>
          <w:rFonts w:ascii="Times New Roman" w:eastAsia="Times New Roman" w:hAnsi="Times New Roman" w:cs="Times New Roman"/>
          <w:b/>
          <w:color w:val="000000"/>
          <w:sz w:val="24"/>
        </w:rPr>
      </w:pPr>
    </w:p>
    <w:p w:rsidR="00E00BEE" w:rsidRDefault="008C6B5C">
      <w:pPr>
        <w:spacing w:after="159"/>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Non-functional Requirements: </w:t>
      </w:r>
    </w:p>
    <w:p w:rsidR="00E00BEE" w:rsidRDefault="008C6B5C">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Following are the Non-functional Requirements of the Solution Architecture.</w:t>
      </w:r>
    </w:p>
    <w:p w:rsidR="00E00BEE" w:rsidRDefault="008C6B5C">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tbl>
      <w:tblPr>
        <w:tblW w:w="0" w:type="auto"/>
        <w:tblInd w:w="5" w:type="dxa"/>
        <w:tblCellMar>
          <w:left w:w="10" w:type="dxa"/>
          <w:right w:w="10" w:type="dxa"/>
        </w:tblCellMar>
        <w:tblLook w:val="0000" w:firstRow="0" w:lastRow="0" w:firstColumn="0" w:lastColumn="0" w:noHBand="0" w:noVBand="0"/>
      </w:tblPr>
      <w:tblGrid>
        <w:gridCol w:w="948"/>
        <w:gridCol w:w="3398"/>
        <w:gridCol w:w="5207"/>
      </w:tblGrid>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FR No.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Non-Functional Requirement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Description </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NFR-1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Usability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Defines how difficult it will be for a user to learn and operate the system. Usability can be accessed from different points.</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NFR-2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Security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Security requirements ensure that the software is protected from unauthorized access to the system and it’s stor</w:t>
            </w:r>
            <w:r>
              <w:rPr>
                <w:rFonts w:ascii="Times New Roman" w:eastAsia="Times New Roman" w:hAnsi="Times New Roman" w:cs="Times New Roman"/>
                <w:color w:val="000000"/>
                <w:sz w:val="24"/>
              </w:rPr>
              <w:t>ed in data.</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NFR-3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Reliability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Reliability defines how likely it is for the software to work without failure for a given period. Reliability decreases because of bugs in the code, hardware, failures and problems with other system component.</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NFR-4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Performance</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 xml:space="preserve">It is quality attribute that describers responsiveness of system to the various user interactions with it. </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NFR-5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Availability</w:t>
            </w:r>
            <w:r>
              <w:rPr>
                <w:rFonts w:ascii="Times New Roman" w:eastAsia="Times New Roman" w:hAnsi="Times New Roman" w:cs="Times New Roman"/>
                <w:color w:val="000000"/>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Services are available for use with all operations. Here the data is readily available. We can get data whenever it is needed.</w:t>
            </w:r>
          </w:p>
        </w:tc>
      </w:tr>
      <w:tr w:rsidR="00E00BEE">
        <w:tblPrEx>
          <w:tblCellMar>
            <w:top w:w="0" w:type="dxa"/>
            <w:bottom w:w="0" w:type="dxa"/>
          </w:tblCellMar>
        </w:tblPrEx>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000000"/>
                <w:sz w:val="24"/>
              </w:rPr>
              <w:t xml:space="preserve">NFR-6 </w:t>
            </w:r>
          </w:p>
        </w:tc>
        <w:tc>
          <w:tcPr>
            <w:tcW w:w="3398"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pPr>
            <w:r>
              <w:rPr>
                <w:rFonts w:ascii="Times New Roman" w:eastAsia="Times New Roman" w:hAnsi="Times New Roman" w:cs="Times New Roman"/>
                <w:b/>
                <w:color w:val="222222"/>
                <w:sz w:val="24"/>
              </w:rPr>
              <w:t>Scalability</w:t>
            </w:r>
            <w:r>
              <w:rPr>
                <w:rFonts w:ascii="Times New Roman" w:eastAsia="Times New Roman" w:hAnsi="Times New Roman" w:cs="Times New Roman"/>
                <w:color w:val="222222"/>
                <w:sz w:val="24"/>
              </w:rPr>
              <w:t xml:space="preserve"> </w:t>
            </w:r>
          </w:p>
        </w:tc>
        <w:tc>
          <w:tcPr>
            <w:tcW w:w="5207"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E00BEE" w:rsidRDefault="008C6B5C">
            <w:pPr>
              <w:spacing w:after="0" w:line="240" w:lineRule="auto"/>
              <w:jc w:val="both"/>
            </w:pPr>
            <w:r>
              <w:rPr>
                <w:rFonts w:ascii="Times New Roman" w:eastAsia="Times New Roman" w:hAnsi="Times New Roman" w:cs="Times New Roman"/>
                <w:color w:val="000000"/>
                <w:sz w:val="24"/>
              </w:rPr>
              <w:t>Scalability describes how the system must grow without negative influence on its performance. This means ser</w:t>
            </w:r>
            <w:r>
              <w:rPr>
                <w:rFonts w:ascii="Times New Roman" w:eastAsia="Times New Roman" w:hAnsi="Times New Roman" w:cs="Times New Roman"/>
                <w:color w:val="000000"/>
                <w:sz w:val="24"/>
              </w:rPr>
              <w:t>ving more users, processing more data, doing more transactions. In this model costumer gets benefits on analyzing their industry data and provides prediction on day to day analysis of food that sold and reduce the wastage of food by predicting its sales mo</w:t>
            </w:r>
            <w:r>
              <w:rPr>
                <w:rFonts w:ascii="Times New Roman" w:eastAsia="Times New Roman" w:hAnsi="Times New Roman" w:cs="Times New Roman"/>
                <w:color w:val="000000"/>
                <w:sz w:val="24"/>
              </w:rPr>
              <w:t>vements.</w:t>
            </w:r>
          </w:p>
        </w:tc>
      </w:tr>
    </w:tbl>
    <w:p w:rsidR="00E00BEE" w:rsidRDefault="008C6B5C">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sectPr w:rsidR="00E0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EE"/>
    <w:rsid w:val="008C6B5C"/>
    <w:rsid w:val="00B31862"/>
    <w:rsid w:val="00E0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12098-5A39-427B-AB27-D5397A4D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Priyadharsan S</dc:creator>
  <cp:lastModifiedBy>Microsoft account</cp:lastModifiedBy>
  <cp:revision>2</cp:revision>
  <dcterms:created xsi:type="dcterms:W3CDTF">2022-11-03T08:13:00Z</dcterms:created>
  <dcterms:modified xsi:type="dcterms:W3CDTF">2022-11-03T08:13:00Z</dcterms:modified>
</cp:coreProperties>
</file>