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365D"/>
            <w:tcMar>
              <w:top w:w="200" w:type="dxa"/>
              <w:bottom w:w="200" w:type="dxa"/>
              <w:left w:w="200" w:type="dxa"/>
              <w:right w:w="200" w:type="dxa"/>
            </w:tcMar>
          </w:tcPr>
          <w:p>
            <w:pPr>
              <w:jc w:val="left"/>
            </w:pPr>
            <w:r>
              <w:rPr>
                <w:rFonts w:ascii="Calibri" w:hAnsi="Calibri"/>
                <w:b/>
                <w:color w:val="FFFFFF"/>
                <w:sz w:val="32"/>
              </w:rPr>
              <w:t>PROJECT DESIGN PHASE</w:t>
              <w:br/>
              <w:t>PROBLEM – SOLUTION FIT TEMPLATE</w:t>
            </w:r>
          </w:p>
        </w:tc>
      </w:tr>
    </w:tbl>
    <w:p>
      <w:pPr>
        <w:spacing w:after="80"/>
      </w:pP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4680"/>
        <w:gridCol w:w="4680"/>
      </w:tblGrid>
      <w:tr>
        <w:tc>
          <w:tcPr>
            <w:tcW w:type="dxa" w:w="4680"/>
            <w:shd w:fill="F0F4F8"/>
            <w:tcMar>
              <w:top w:w="100" w:type="dxa"/>
              <w:bottom w:w="100" w:type="dxa"/>
              <w:left w:w="150" w:type="dxa"/>
              <w:right w:w="150" w:type="dxa"/>
            </w:tcMar>
          </w:tcPr>
          <w:p>
            <w:pPr>
              <w:spacing w:after="40"/>
            </w:pPr>
            <w:r>
              <w:rPr>
                <w:b/>
                <w:color w:val="1B365D"/>
              </w:rPr>
              <w:t>Team ID:</w:t>
            </w:r>
            <w:r>
              <w:rPr>
                <w:color w:val="222222"/>
              </w:rPr>
              <w:t xml:space="preserve"> SWTID-2026-5778</w:t>
            </w:r>
          </w:p>
        </w:tc>
        <w:tc>
          <w:tcPr>
            <w:tcW w:type="dxa" w:w="4680"/>
            <w:shd w:fill="F0F4F8"/>
            <w:tcMar>
              <w:top w:w="100" w:type="dxa"/>
              <w:bottom w:w="100" w:type="dxa"/>
              <w:left w:w="150" w:type="dxa"/>
              <w:right w:w="150" w:type="dxa"/>
            </w:tcMar>
          </w:tcPr>
          <w:p>
            <w:pPr>
              <w:spacing w:after="40"/>
            </w:pPr>
            <w:r>
              <w:rPr>
                <w:b/>
                <w:color w:val="1B365D"/>
              </w:rPr>
              <w:t>Date:</w:t>
            </w:r>
            <w:r>
              <w:rPr>
                <w:color w:val="222222"/>
              </w:rPr>
              <w:t xml:space="preserve"> 30 September 2026</w:t>
            </w:r>
          </w:p>
        </w:tc>
      </w:tr>
      <w:tr>
        <w:tc>
          <w:tcPr>
            <w:tcW w:type="dxa" w:w="4680"/>
            <w:shd w:fill="F0F4F8"/>
            <w:tcMar>
              <w:top w:w="100" w:type="dxa"/>
              <w:bottom w:w="100" w:type="dxa"/>
              <w:left w:w="150" w:type="dxa"/>
              <w:right w:w="150" w:type="dxa"/>
            </w:tcMar>
          </w:tcPr>
          <w:p>
            <w:pPr>
              <w:spacing w:after="40"/>
            </w:pPr>
            <w:r>
              <w:rPr>
                <w:b/>
                <w:color w:val="1B365D"/>
              </w:rPr>
              <w:t>Project Name:</w:t>
            </w:r>
            <w:r>
              <w:rPr>
                <w:color w:val="222222"/>
              </w:rPr>
              <w:t xml:space="preserve"> Import Data Using Transform Maps</w:t>
            </w:r>
          </w:p>
        </w:tc>
        <w:tc>
          <w:tcPr>
            <w:tcW w:type="dxa" w:w="4680"/>
            <w:shd w:fill="F0F4F8"/>
            <w:tcMar>
              <w:top w:w="100" w:type="dxa"/>
              <w:bottom w:w="100" w:type="dxa"/>
              <w:left w:w="150" w:type="dxa"/>
              <w:right w:w="150" w:type="dxa"/>
            </w:tcMar>
          </w:tcPr>
          <w:p>
            <w:pPr>
              <w:spacing w:after="40"/>
            </w:pPr>
            <w:r>
              <w:rPr>
                <w:b/>
                <w:color w:val="1B365D"/>
              </w:rPr>
              <w:t>Maximum Marks:</w:t>
            </w:r>
            <w:r>
              <w:rPr>
                <w:color w:val="222222"/>
              </w:rPr>
              <w:t xml:space="preserve"> 2 Marks</w:t>
            </w:r>
          </w:p>
        </w:tc>
      </w:tr>
    </w:tbl>
    <w:p>
      <w:pPr>
        <w:spacing w:after="160"/>
      </w:pPr>
    </w:p>
    <w:p>
      <w:pPr>
        <w:spacing w:before="160" w:after="80"/>
      </w:pPr>
      <w:r>
        <w:rPr>
          <w:rFonts w:ascii="Calibri" w:hAnsi="Calibri"/>
          <w:b/>
          <w:color w:val="1B365D"/>
          <w:sz w:val="26"/>
        </w:rPr>
        <w:t>Problem – Solution Fit Overview:</w:t>
      </w:r>
    </w:p>
    <w:p>
      <w:pPr>
        <w:spacing w:after="120"/>
      </w:pPr>
      <w:r>
        <w:t>The Problem-Solution Fit simply means that you have found a problem with your target user base and that the solution realized for it effectively solves the customer's problem. It helps developers, administrators, and corporate innovators identify behavioral patterns, optimize automated workflows, and recognize what works and why.</w:t>
      </w:r>
    </w:p>
    <w:p>
      <w:r>
        <w:rPr>
          <w:b/>
          <w:color w:val="1B365D"/>
        </w:rPr>
        <w:t>Purpose:</w:t>
      </w:r>
    </w:p>
    <w:p>
      <w:pPr>
        <w:pStyle w:val="ListBullet"/>
        <w:spacing w:after="40"/>
      </w:pPr>
      <w:r>
        <w:rPr>
          <w:sz w:val="19"/>
        </w:rPr>
        <w:t>Solve complex enterprise bulk data import problems in a way that aligns with administrator workflows.</w:t>
      </w:r>
    </w:p>
    <w:p>
      <w:pPr>
        <w:pStyle w:val="ListBullet"/>
        <w:spacing w:after="40"/>
      </w:pPr>
      <w:r>
        <w:rPr>
          <w:sz w:val="19"/>
        </w:rPr>
        <w:t>Succeed faster and increase solution adoption by leveraging existing ServiceNow Import Set and Transform Map platforms.</w:t>
      </w:r>
    </w:p>
    <w:p>
      <w:pPr>
        <w:pStyle w:val="ListBullet"/>
        <w:spacing w:after="40"/>
      </w:pPr>
      <w:r>
        <w:rPr>
          <w:sz w:val="19"/>
        </w:rPr>
        <w:t>Sharpen data governance and error-handling strategies with reliable automated triggers and validation routines.</w:t>
      </w:r>
    </w:p>
    <w:p>
      <w:pPr>
        <w:pStyle w:val="ListBullet"/>
        <w:spacing w:after="40"/>
      </w:pPr>
      <w:r>
        <w:rPr>
          <w:sz w:val="19"/>
        </w:rPr>
        <w:t>Eliminate duplicate record creation and severe data inconsistency by establishing Employee ID as a unique Coalesce key.</w:t>
      </w:r>
    </w:p>
    <w:p>
      <w:pPr>
        <w:pStyle w:val="ListBullet"/>
        <w:spacing w:after="40"/>
      </w:pPr>
      <w:r>
        <w:rPr>
          <w:sz w:val="19"/>
        </w:rPr>
        <w:t>Understand existing manual import inefficiencies in order to streamline system operations for target user groups.</w:t>
      </w:r>
    </w:p>
    <w:p>
      <w:pPr>
        <w:spacing w:after="200"/>
      </w:pPr>
    </w:p>
    <w:p>
      <w:pPr>
        <w:spacing w:before="160" w:after="80"/>
      </w:pPr>
      <w:r>
        <w:rPr>
          <w:rFonts w:ascii="Calibri" w:hAnsi="Calibri"/>
          <w:b/>
          <w:color w:val="1B365D"/>
          <w:sz w:val="26"/>
        </w:rPr>
        <w:t>Problem – Solution Fit Canvas Details:</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3120"/>
        <w:gridCol w:w="3120"/>
        <w:gridCol w:w="3120"/>
      </w:tblGrid>
      <w:tr>
        <w:tc>
          <w:tcPr>
            <w:tcW w:type="dxa" w:w="3110"/>
            <w:shd w:fill="FAFAFA"/>
            <w:tcMar>
              <w:top w:w="100" w:type="dxa"/>
              <w:bottom w:w="100" w:type="dxa"/>
              <w:left w:w="100" w:type="dxa"/>
              <w:right w:w="100" w:type="dxa"/>
            </w:tcMar>
          </w:tcPr>
          <w:p>
            <w:pPr>
              <w:spacing w:after="80"/>
            </w:pPr>
            <w:r>
              <w:rPr>
                <w:rFonts w:ascii="Calibri" w:hAnsi="Calibri"/>
                <w:b/>
                <w:color w:val="E2503A"/>
                <w:sz w:val="19"/>
              </w:rPr>
              <w:t>1. CUSTOMER SEGMENT(S) [CS]</w:t>
            </w:r>
          </w:p>
          <w:p>
            <w:pPr>
              <w:spacing w:after="40"/>
            </w:pPr>
            <w:r>
              <w:rPr>
                <w:rFonts w:ascii="Calibri" w:hAnsi="Calibri"/>
                <w:color w:val="333333"/>
                <w:sz w:val="17"/>
              </w:rPr>
              <w:t>• ServiceNow System Administrators</w:t>
              <w:br/>
              <w:t>• HR Operations Specialists &amp; IT Helpdesk Team</w:t>
              <w:br/>
              <w:t>• Enterprise Organizations onboarding bulk employee data periodically.</w:t>
            </w:r>
          </w:p>
        </w:tc>
        <w:tc>
          <w:tcPr>
            <w:tcW w:type="dxa" w:w="3110"/>
            <w:shd w:fill="FAFAFA"/>
            <w:tcMar>
              <w:top w:w="100" w:type="dxa"/>
              <w:bottom w:w="100" w:type="dxa"/>
              <w:left w:w="100" w:type="dxa"/>
              <w:right w:w="100" w:type="dxa"/>
            </w:tcMar>
          </w:tcPr>
          <w:p>
            <w:pPr>
              <w:spacing w:after="80"/>
            </w:pPr>
            <w:r>
              <w:rPr>
                <w:rFonts w:ascii="Calibri" w:hAnsi="Calibri"/>
                <w:b/>
                <w:color w:val="E2503A"/>
                <w:sz w:val="19"/>
              </w:rPr>
              <w:t>6. CUSTOMER CONSTRAINTS [CC]</w:t>
            </w:r>
          </w:p>
          <w:p>
            <w:pPr>
              <w:spacing w:after="40"/>
            </w:pPr>
            <w:r>
              <w:rPr>
                <w:rFonts w:ascii="Calibri" w:hAnsi="Calibri"/>
                <w:color w:val="333333"/>
                <w:sz w:val="17"/>
              </w:rPr>
              <w:t>• Strict ServiceNow role-based access security constraints.</w:t>
              <w:br/>
              <w:t>• Schema formatting requirements for input spreadsheets (Excel/CSV).</w:t>
              <w:br/>
              <w:t>• Network bandwidth limits during massive concurrent file uploads.</w:t>
            </w:r>
          </w:p>
        </w:tc>
        <w:tc>
          <w:tcPr>
            <w:tcW w:type="dxa" w:w="3110"/>
            <w:shd w:fill="FAFAFA"/>
            <w:tcMar>
              <w:top w:w="100" w:type="dxa"/>
              <w:bottom w:w="100" w:type="dxa"/>
              <w:left w:w="100" w:type="dxa"/>
              <w:right w:w="100" w:type="dxa"/>
            </w:tcMar>
          </w:tcPr>
          <w:p>
            <w:pPr>
              <w:spacing w:after="80"/>
            </w:pPr>
            <w:r>
              <w:rPr>
                <w:rFonts w:ascii="Calibri" w:hAnsi="Calibri"/>
                <w:b/>
                <w:color w:val="E2503A"/>
                <w:sz w:val="19"/>
              </w:rPr>
              <w:t>5. AVAILABLE SOLUTIONS [AS]</w:t>
            </w:r>
          </w:p>
          <w:p>
            <w:pPr>
              <w:spacing w:after="40"/>
            </w:pPr>
            <w:r>
              <w:rPr>
                <w:rFonts w:ascii="Calibri" w:hAnsi="Calibri"/>
                <w:color w:val="333333"/>
                <w:sz w:val="17"/>
              </w:rPr>
              <w:t>• Manual row-by-row record creation in target tables.</w:t>
              <w:br/>
              <w:t>• Basic custom script execution without staging validation.</w:t>
              <w:br/>
              <w:t>• Generic legacy third-party ETL tools with high integration overhead.</w:t>
            </w:r>
          </w:p>
        </w:tc>
      </w:tr>
      <w:tr>
        <w:tc>
          <w:tcPr>
            <w:tcW w:type="dxa" w:w="3110"/>
            <w:shd w:fill="FAFAFA"/>
            <w:tcMar>
              <w:top w:w="100" w:type="dxa"/>
              <w:bottom w:w="100" w:type="dxa"/>
              <w:left w:w="100" w:type="dxa"/>
              <w:right w:w="100" w:type="dxa"/>
            </w:tcMar>
          </w:tcPr>
          <w:p>
            <w:pPr>
              <w:spacing w:after="80"/>
            </w:pPr>
            <w:r>
              <w:rPr>
                <w:rFonts w:ascii="Calibri" w:hAnsi="Calibri"/>
                <w:b/>
                <w:color w:val="D96B00"/>
                <w:sz w:val="19"/>
              </w:rPr>
              <w:t>2. JOBS-TO-BE-DONE / PROBLEMS [J&amp;P]</w:t>
            </w:r>
          </w:p>
          <w:p>
            <w:pPr>
              <w:spacing w:after="40"/>
            </w:pPr>
            <w:r>
              <w:rPr>
                <w:rFonts w:ascii="Calibri" w:hAnsi="Calibri"/>
                <w:color w:val="333333"/>
                <w:sz w:val="17"/>
              </w:rPr>
              <w:t>• Import employee details (Employee ID, Name, Email, Department, Location) cleanly.</w:t>
              <w:br/>
              <w:t>• Prevent duplicate records during updates.</w:t>
              <w:br/>
              <w:t>• Validate data before committing to the live system database.</w:t>
            </w:r>
          </w:p>
        </w:tc>
        <w:tc>
          <w:tcPr>
            <w:tcW w:type="dxa" w:w="3110"/>
            <w:shd w:fill="FAFAFA"/>
            <w:tcMar>
              <w:top w:w="100" w:type="dxa"/>
              <w:bottom w:w="100" w:type="dxa"/>
              <w:left w:w="100" w:type="dxa"/>
              <w:right w:w="100" w:type="dxa"/>
            </w:tcMar>
          </w:tcPr>
          <w:p>
            <w:pPr>
              <w:spacing w:after="80"/>
            </w:pPr>
            <w:r>
              <w:rPr>
                <w:rFonts w:ascii="Calibri" w:hAnsi="Calibri"/>
                <w:b/>
                <w:color w:val="D96B00"/>
                <w:sz w:val="19"/>
              </w:rPr>
              <w:t>9. PROBLEM ROOT CAUSE [RC]</w:t>
            </w:r>
          </w:p>
          <w:p>
            <w:pPr>
              <w:spacing w:after="40"/>
            </w:pPr>
            <w:r>
              <w:rPr>
                <w:rFonts w:ascii="Calibri" w:hAnsi="Calibri"/>
                <w:color w:val="333333"/>
                <w:sz w:val="17"/>
              </w:rPr>
              <w:t>• Lack of primary key enforcement during manual or unvalidated bulk uploads.</w:t>
              <w:br/>
              <w:t>• Discrepancies between external spreadsheet formats and internal target database schema.</w:t>
            </w:r>
          </w:p>
        </w:tc>
        <w:tc>
          <w:tcPr>
            <w:tcW w:type="dxa" w:w="3110"/>
            <w:shd w:fill="FAFAFA"/>
            <w:tcMar>
              <w:top w:w="100" w:type="dxa"/>
              <w:bottom w:w="100" w:type="dxa"/>
              <w:left w:w="100" w:type="dxa"/>
              <w:right w:w="100" w:type="dxa"/>
            </w:tcMar>
          </w:tcPr>
          <w:p>
            <w:pPr>
              <w:spacing w:after="80"/>
            </w:pPr>
            <w:r>
              <w:rPr>
                <w:rFonts w:ascii="Calibri" w:hAnsi="Calibri"/>
                <w:b/>
                <w:color w:val="D96B00"/>
                <w:sz w:val="19"/>
              </w:rPr>
              <w:t>7. BEHAVIOUR [BE]</w:t>
            </w:r>
          </w:p>
          <w:p>
            <w:pPr>
              <w:spacing w:after="40"/>
            </w:pPr>
            <w:r>
              <w:rPr>
                <w:rFonts w:ascii="Calibri" w:hAnsi="Calibri"/>
                <w:color w:val="333333"/>
                <w:sz w:val="17"/>
              </w:rPr>
              <w:t>• Admins export HR spreadsheets and manually update database records.</w:t>
              <w:br/>
              <w:t>• Frequent manual checks are conducted to fix corrupted or mismatched employee emails and IDs.</w:t>
            </w:r>
          </w:p>
        </w:tc>
      </w:tr>
      <w:tr>
        <w:tc>
          <w:tcPr>
            <w:tcW w:type="dxa" w:w="3110"/>
            <w:shd w:fill="FAFAFA"/>
            <w:tcMar>
              <w:top w:w="100" w:type="dxa"/>
              <w:bottom w:w="100" w:type="dxa"/>
              <w:left w:w="100" w:type="dxa"/>
              <w:right w:w="100" w:type="dxa"/>
            </w:tcMar>
          </w:tcPr>
          <w:p>
            <w:pPr>
              <w:spacing w:after="80"/>
            </w:pPr>
            <w:r>
              <w:rPr>
                <w:rFonts w:ascii="Calibri" w:hAnsi="Calibri"/>
                <w:b/>
                <w:color w:val="008080"/>
                <w:sz w:val="19"/>
              </w:rPr>
              <w:t>3. TRIGGERS [TR] / 4. EMOTIONS [EM]</w:t>
            </w:r>
          </w:p>
          <w:p>
            <w:pPr>
              <w:spacing w:after="40"/>
            </w:pPr>
            <w:r>
              <w:rPr>
                <w:rFonts w:ascii="Calibri" w:hAnsi="Calibri"/>
                <w:color w:val="333333"/>
                <w:sz w:val="17"/>
              </w:rPr>
              <w:t>• Triggers: Bulk employee onboarding, quarterly department reshuffles, HR system synchronization.</w:t>
              <w:br/>
              <w:t>• Emotions (Before): Frustrated, anxious over duplicate entries.</w:t>
              <w:br/>
              <w:t>• Emotions (After): Confident, efficient, satisfied with automated clean data.</w:t>
            </w:r>
          </w:p>
        </w:tc>
        <w:tc>
          <w:tcPr>
            <w:tcW w:type="dxa" w:w="3110"/>
            <w:shd w:fill="FAFAFA"/>
            <w:tcMar>
              <w:top w:w="100" w:type="dxa"/>
              <w:bottom w:w="100" w:type="dxa"/>
              <w:left w:w="100" w:type="dxa"/>
              <w:right w:w="100" w:type="dxa"/>
            </w:tcMar>
          </w:tcPr>
          <w:p>
            <w:pPr>
              <w:spacing w:after="80"/>
            </w:pPr>
            <w:r>
              <w:rPr>
                <w:rFonts w:ascii="Calibri" w:hAnsi="Calibri"/>
                <w:b/>
                <w:color w:val="1B365D"/>
                <w:sz w:val="19"/>
              </w:rPr>
              <w:t>10. YOUR SOLUTION [SL]</w:t>
            </w:r>
          </w:p>
          <w:p>
            <w:pPr>
              <w:spacing w:after="40"/>
            </w:pPr>
            <w:r>
              <w:rPr>
                <w:rFonts w:ascii="Calibri" w:hAnsi="Calibri"/>
                <w:color w:val="333333"/>
                <w:sz w:val="17"/>
              </w:rPr>
              <w:t>• ServiceNow Import Set Staging Table (`u_imp_employee`) for initial data capture &amp; parsing.</w:t>
              <w:br/>
              <w:t>• Transform Map to automate field mapping.</w:t>
              <w:br/>
              <w:t>• Coalesce logic on Employee ID for intelligent Insert or Update execution.</w:t>
            </w:r>
          </w:p>
        </w:tc>
        <w:tc>
          <w:tcPr>
            <w:tcW w:type="dxa" w:w="3110"/>
            <w:shd w:fill="FAFAFA"/>
            <w:tcMar>
              <w:top w:w="100" w:type="dxa"/>
              <w:bottom w:w="100" w:type="dxa"/>
              <w:left w:w="100" w:type="dxa"/>
              <w:right w:w="100" w:type="dxa"/>
            </w:tcMar>
          </w:tcPr>
          <w:p>
            <w:pPr>
              <w:spacing w:after="80"/>
            </w:pPr>
            <w:r>
              <w:rPr>
                <w:rFonts w:ascii="Calibri" w:hAnsi="Calibri"/>
                <w:b/>
                <w:color w:val="008080"/>
                <w:sz w:val="19"/>
              </w:rPr>
              <w:t>8. CHANNELS OF BEHAVIOUR [CH]</w:t>
            </w:r>
          </w:p>
          <w:p>
            <w:pPr>
              <w:spacing w:after="40"/>
            </w:pPr>
            <w:r>
              <w:rPr>
                <w:rFonts w:ascii="Calibri" w:hAnsi="Calibri"/>
                <w:color w:val="333333"/>
                <w:sz w:val="17"/>
              </w:rPr>
              <w:t>• Online: ServiceNow System Administration Web Portal, Automated REST API Import Set Endpoints.</w:t>
              <w:br/>
              <w:t>• Offline: HR Data Export workflows and scheduled administrative batch reviews.</w:t>
            </w:r>
          </w:p>
        </w:tc>
      </w:tr>
    </w:tbl>
    <w:p>
      <w:pPr>
        <w:spacing w:after="240"/>
      </w:pPr>
    </w:p>
    <w:p>
      <w:pPr>
        <w:spacing w:before="160" w:after="80"/>
      </w:pPr>
      <w:r>
        <w:rPr>
          <w:rFonts w:ascii="Calibri" w:hAnsi="Calibri"/>
          <w:b/>
          <w:color w:val="1B365D"/>
          <w:sz w:val="22"/>
        </w:rPr>
        <w:t>References:</w:t>
      </w:r>
    </w:p>
    <w:p>
      <w:pPr>
        <w:pStyle w:val="ListBullet"/>
        <w:spacing w:after="40"/>
      </w:pPr>
      <w:r>
        <w:rPr>
          <w:color w:val="4B6B94"/>
          <w:sz w:val="17"/>
        </w:rPr>
        <w:t>https://www.ideahackers.network/problem-solution-fit-canvas/</w:t>
      </w:r>
    </w:p>
    <w:p>
      <w:pPr>
        <w:pStyle w:val="ListBullet"/>
        <w:spacing w:after="40"/>
      </w:pPr>
      <w:r>
        <w:rPr>
          <w:color w:val="4B6B94"/>
          <w:sz w:val="17"/>
        </w:rPr>
        <w:t>https://medium.com/@epicantus/problem-solution-fit-canvas-aa3dd59cb4fe</w:t>
      </w:r>
    </w:p>
    <w:p>
      <w:pPr>
        <w:pStyle w:val="ListBullet"/>
        <w:spacing w:after="40"/>
      </w:pPr>
      <w:r>
        <w:rPr>
          <w:color w:val="4B6B94"/>
          <w:sz w:val="17"/>
        </w:rPr>
        <w:t>https://docs.servicenow.com/bundle/utah-platform-administration/page/administer/import-sets/concept/c_ImportDataUsingTransformMaps.html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