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center"/>
        <w:tblInd w:w="0" w:type="dxa"/>
        <w:tblLayout w:type="fixed"/>
        <w:tblCellMar>
          <w:top w:w="280" w:type="dxa"/>
          <w:start w:w="360" w:type="dxa"/>
          <w:bottom w:w="280" w:type="dxa"/>
          <w:end w:w="360" w:type="dxa"/>
        </w:tblCellMar>
        <w:tblLook w:firstRow="1" w:noVBand="1" w:lastRow="0" w:firstColumn="1" w:lastColumn="0" w:noHBand="0" w:val="04a0"/>
      </w:tblPr>
      <w:tblGrid>
        <w:gridCol w:w="9360"/>
      </w:tblGrid>
      <w:tr>
        <w:trPr/>
        <w:tc>
          <w:tcPr>
            <w:tcW w:w="9360" w:type="dxa"/>
            <w:tcBorders/>
            <w:shd w:fill="0B3C5D"/>
          </w:tcPr>
          <w:p>
            <w:pPr>
              <w:pStyle w:val="Normal"/>
              <w:spacing w:before="0" w:after="80"/>
              <w:jc w:val="center"/>
              <w:rPr/>
            </w:pPr>
            <w:r>
              <w:rPr>
                <w:b/>
                <w:color w:val="FFFFFF"/>
                <w:sz w:val="44"/>
              </w:rPr>
              <w:t>PROJECT DOCUMENTATION</w:t>
            </w:r>
          </w:p>
          <w:p>
            <w:pPr>
              <w:pStyle w:val="Normal"/>
              <w:spacing w:before="0" w:after="0"/>
              <w:jc w:val="center"/>
              <w:rPr/>
            </w:pPr>
            <w:r>
              <w:rPr>
                <w:color w:val="DCEBF5"/>
                <w:sz w:val="26"/>
              </w:rPr>
              <w:t>Import Data Using Transform Maps | ServiceNow Integration</w:t>
            </w:r>
          </w:p>
        </w:tc>
      </w:tr>
    </w:tbl>
    <w:p>
      <w:pPr>
        <w:pStyle w:val="Normal"/>
        <w:rPr/>
      </w:pPr>
      <w:r>
        <w:rPr/>
      </w:r>
    </w:p>
    <w:tbl>
      <w:tblPr>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4680"/>
        <w:gridCol w:w="4680"/>
      </w:tblGrid>
      <w:tr>
        <w:trPr/>
        <w:tc>
          <w:tcPr>
            <w:tcW w:w="4680" w:type="dxa"/>
            <w:tcBorders/>
            <w:shd w:fill="F0F4F8"/>
          </w:tcPr>
          <w:p>
            <w:pPr>
              <w:pStyle w:val="Normal"/>
              <w:spacing w:before="0" w:after="80"/>
              <w:rPr/>
            </w:pPr>
            <w:r>
              <w:rPr>
                <w:b/>
                <w:color w:val="0B3C5D"/>
              </w:rPr>
              <w:t>Team ID:</w:t>
            </w:r>
            <w:r>
              <w:rPr>
                <w:color w:val="333333"/>
              </w:rPr>
              <w:t xml:space="preserve"> SWTID-2026-5778</w:t>
            </w:r>
          </w:p>
        </w:tc>
        <w:tc>
          <w:tcPr>
            <w:tcW w:w="4680" w:type="dxa"/>
            <w:tcBorders/>
            <w:shd w:fill="F0F4F8"/>
          </w:tcPr>
          <w:p>
            <w:pPr>
              <w:pStyle w:val="Normal"/>
              <w:spacing w:before="0" w:after="80"/>
              <w:rPr/>
            </w:pPr>
            <w:r>
              <w:rPr>
                <w:b/>
                <w:color w:val="0B3C5D"/>
              </w:rPr>
              <w:t>Date:</w:t>
            </w:r>
            <w:r>
              <w:rPr>
                <w:color w:val="333333"/>
              </w:rPr>
              <w:t xml:space="preserve"> </w:t>
            </w:r>
            <w:r>
              <w:rPr>
                <w:color w:val="333333"/>
              </w:rPr>
              <w:t>30 September 2026</w:t>
            </w:r>
          </w:p>
        </w:tc>
      </w:tr>
      <w:tr>
        <w:trPr/>
        <w:tc>
          <w:tcPr>
            <w:tcW w:w="4680" w:type="dxa"/>
            <w:tcBorders/>
            <w:shd w:fill="F0F4F8"/>
          </w:tcPr>
          <w:p>
            <w:pPr>
              <w:pStyle w:val="Normal"/>
              <w:spacing w:before="0" w:after="80"/>
              <w:rPr/>
            </w:pPr>
            <w:r>
              <w:rPr>
                <w:b/>
                <w:color w:val="0B3C5D"/>
              </w:rPr>
              <w:t>Project Title:</w:t>
            </w:r>
            <w:r>
              <w:rPr>
                <w:color w:val="333333"/>
              </w:rPr>
              <w:t xml:space="preserve"> Import Data Using Transform Maps</w:t>
            </w:r>
          </w:p>
        </w:tc>
        <w:tc>
          <w:tcPr>
            <w:tcW w:w="4680" w:type="dxa"/>
            <w:tcBorders/>
            <w:shd w:fill="F0F4F8"/>
          </w:tcPr>
          <w:p>
            <w:pPr>
              <w:pStyle w:val="Normal"/>
              <w:spacing w:before="0" w:after="80"/>
              <w:rPr/>
            </w:pPr>
            <w:r>
              <w:rPr>
                <w:b/>
                <w:color w:val="0B3C5D"/>
              </w:rPr>
              <w:t>Maximum Marks:</w:t>
            </w:r>
            <w:r>
              <w:rPr>
                <w:color w:val="333333"/>
              </w:rPr>
              <w:t xml:space="preserve"> 4 Marks</w:t>
            </w:r>
          </w:p>
        </w:tc>
      </w:tr>
    </w:tbl>
    <w:p>
      <w:pPr>
        <w:pStyle w:val="Normal"/>
        <w:keepNext w:val="true"/>
        <w:pBdr>
          <w:bottom w:val="single" w:sz="12" w:space="4" w:color="0B3C5D"/>
        </w:pBdr>
        <w:spacing w:before="320" w:after="120"/>
        <w:rPr/>
      </w:pPr>
      <w:r>
        <w:rPr>
          <w:b/>
          <w:color w:val="0B3C5D"/>
          <w:sz w:val="30"/>
        </w:rPr>
        <w:t>1. Executive Summary &amp; Overview</w:t>
      </w:r>
    </w:p>
    <w:p>
      <w:pPr>
        <w:pStyle w:val="Normal"/>
        <w:rPr/>
      </w:pPr>
      <w:r>
        <w:rPr>
          <w:b/>
        </w:rPr>
        <w:t xml:space="preserve">Project Overview: </w:t>
      </w:r>
      <w:r>
        <w:rPr/>
        <w:t xml:space="preserve">This project establishes an automated, scalable data ingestion process in ServiceNow to ingest, validate, and process employee records provided via external spreadsheet files. The system utilizes </w:t>
      </w:r>
      <w:r>
        <w:rPr>
          <w:b/>
        </w:rPr>
        <w:t>Import Sets</w:t>
      </w:r>
      <w:r>
        <w:rPr/>
        <w:t xml:space="preserve"> for temporary staging and validation, followed by </w:t>
      </w:r>
      <w:r>
        <w:rPr>
          <w:b/>
        </w:rPr>
        <w:t>Transform Maps</w:t>
      </w:r>
      <w:r>
        <w:rPr/>
        <w:t xml:space="preserve"> to structure, map, and populate the target Employee table seamlessly.</w:t>
      </w:r>
    </w:p>
    <w:p>
      <w:pPr>
        <w:pStyle w:val="Normal"/>
        <w:rPr/>
      </w:pPr>
      <w:r>
        <w:rPr>
          <w:b/>
        </w:rPr>
        <w:t xml:space="preserve">Business Objective: </w:t>
      </w:r>
      <w:r>
        <w:rPr/>
        <w:t>To maintain an up-to-date and reliable central repository of employee records without manual entry overhead. By implementing a unique field key (</w:t>
      </w:r>
      <w:r>
        <w:rPr>
          <w:b/>
        </w:rPr>
        <w:t>Employee ID</w:t>
      </w:r>
      <w:r>
        <w:rPr/>
        <w:t>), the transform process automatically decides whether to update an existing record or insert a new employee entry, avoiding duplicate records and data corruption.</w:t>
      </w:r>
    </w:p>
    <w:p>
      <w:pPr>
        <w:pStyle w:val="Normal"/>
        <w:keepNext w:val="true"/>
        <w:pBdr>
          <w:bottom w:val="single" w:sz="12" w:space="4" w:color="0B3C5D"/>
        </w:pBdr>
        <w:spacing w:before="320" w:after="120"/>
        <w:rPr/>
      </w:pPr>
      <w:r>
        <w:rPr>
          <w:b/>
          <w:color w:val="0B3C5D"/>
          <w:sz w:val="30"/>
        </w:rPr>
        <w:t>2. Technical Scope &amp; Architecture</w:t>
      </w:r>
    </w:p>
    <w:p>
      <w:pPr>
        <w:pStyle w:val="Normal"/>
        <w:keepNext w:val="true"/>
        <w:spacing w:before="240" w:after="80"/>
        <w:rPr/>
      </w:pPr>
      <w:r>
        <w:rPr>
          <w:b/>
          <w:color w:val="327396"/>
          <w:sz w:val="26"/>
        </w:rPr>
        <w:t>Key Data Fields</w:t>
      </w:r>
    </w:p>
    <w:p>
      <w:pPr>
        <w:pStyle w:val="ListBullet"/>
        <w:numPr>
          <w:ilvl w:val="0"/>
          <w:numId w:val="1"/>
        </w:numPr>
        <w:spacing w:before="0" w:after="60"/>
        <w:contextualSpacing/>
        <w:rPr/>
      </w:pPr>
      <w:r>
        <w:rPr>
          <w:b/>
          <w:color w:val="0B3C5D"/>
        </w:rPr>
        <w:t>Employee ID</w:t>
      </w:r>
      <w:r>
        <w:rPr/>
        <w:t xml:space="preserve"> – Unique Identifier / Coalesce Key for record matching</w:t>
      </w:r>
    </w:p>
    <w:p>
      <w:pPr>
        <w:pStyle w:val="ListBullet"/>
        <w:numPr>
          <w:ilvl w:val="0"/>
          <w:numId w:val="1"/>
        </w:numPr>
        <w:spacing w:before="0" w:after="60"/>
        <w:contextualSpacing/>
        <w:rPr/>
      </w:pPr>
      <w:r>
        <w:rPr>
          <w:b/>
          <w:color w:val="0B3C5D"/>
        </w:rPr>
        <w:t>Name</w:t>
      </w:r>
      <w:r>
        <w:rPr/>
        <w:t xml:space="preserve"> – Full name of the employee</w:t>
      </w:r>
    </w:p>
    <w:p>
      <w:pPr>
        <w:pStyle w:val="ListBullet"/>
        <w:numPr>
          <w:ilvl w:val="0"/>
          <w:numId w:val="1"/>
        </w:numPr>
        <w:spacing w:before="0" w:after="60"/>
        <w:contextualSpacing/>
        <w:rPr/>
      </w:pPr>
      <w:r>
        <w:rPr>
          <w:b/>
          <w:color w:val="0B3C5D"/>
        </w:rPr>
        <w:t>Email</w:t>
      </w:r>
      <w:r>
        <w:rPr/>
        <w:t xml:space="preserve"> – Primary communication address</w:t>
      </w:r>
    </w:p>
    <w:p>
      <w:pPr>
        <w:pStyle w:val="ListBullet"/>
        <w:numPr>
          <w:ilvl w:val="0"/>
          <w:numId w:val="1"/>
        </w:numPr>
        <w:spacing w:before="0" w:after="60"/>
        <w:contextualSpacing/>
        <w:rPr/>
      </w:pPr>
      <w:r>
        <w:rPr>
          <w:b/>
          <w:color w:val="0B3C5D"/>
        </w:rPr>
        <w:t>Department</w:t>
      </w:r>
      <w:r>
        <w:rPr/>
        <w:t xml:space="preserve"> – Organizational unit mapping</w:t>
      </w:r>
    </w:p>
    <w:p>
      <w:pPr>
        <w:pStyle w:val="ListBullet"/>
        <w:numPr>
          <w:ilvl w:val="0"/>
          <w:numId w:val="1"/>
        </w:numPr>
        <w:spacing w:before="0" w:after="60"/>
        <w:contextualSpacing/>
        <w:rPr/>
      </w:pPr>
      <w:r>
        <w:rPr>
          <w:b/>
          <w:color w:val="0B3C5D"/>
        </w:rPr>
        <w:t>Location</w:t>
      </w:r>
      <w:r>
        <w:rPr/>
        <w:t xml:space="preserve"> – Physical office or remote site assignment</w:t>
      </w:r>
    </w:p>
    <w:p>
      <w:pPr>
        <w:pStyle w:val="Normal"/>
        <w:keepNext w:val="true"/>
        <w:spacing w:before="240" w:after="80"/>
        <w:rPr/>
      </w:pPr>
      <w:r>
        <w:rPr>
          <w:b/>
          <w:color w:val="327396"/>
          <w:sz w:val="26"/>
        </w:rPr>
        <w:t>Process Flow Strategy</w:t>
      </w:r>
    </w:p>
    <w:p>
      <w:pPr>
        <w:pStyle w:val="Normal"/>
        <w:spacing w:before="0" w:after="80"/>
        <w:rPr/>
      </w:pPr>
      <w:r>
        <w:rPr>
          <w:b/>
        </w:rPr>
        <w:t xml:space="preserve">1. Upload &amp; Staging: </w:t>
      </w:r>
      <w:r>
        <w:rPr/>
        <w:t>Data from the external spreadsheet is ingested into a temporary staging table (Import Set Table).</w:t>
      </w:r>
    </w:p>
    <w:p>
      <w:pPr>
        <w:pStyle w:val="Normal"/>
        <w:spacing w:before="0" w:after="80"/>
        <w:rPr/>
      </w:pPr>
      <w:r>
        <w:rPr>
          <w:b/>
        </w:rPr>
        <w:t xml:space="preserve">2. Field Mapping &amp; Coalesce: </w:t>
      </w:r>
      <w:r>
        <w:rPr/>
        <w:t>Fields are mapped to the target Employee table (sys_user or target table). The Employee ID is configured as the Coalesce field.</w:t>
      </w:r>
    </w:p>
    <w:p>
      <w:pPr>
        <w:pStyle w:val="Normal"/>
        <w:spacing w:before="0" w:after="80"/>
        <w:rPr/>
      </w:pPr>
      <w:r>
        <w:rPr>
          <w:b/>
        </w:rPr>
        <w:t xml:space="preserve">3. Execution Logic: </w:t>
      </w:r>
      <w:r>
        <w:rPr/>
        <w:t>If a matching record is found, the system updates the existing employee record. If no match is found, a new record is inserted into the target table.</w:t>
      </w:r>
    </w:p>
    <w:p>
      <w:pPr>
        <w:pStyle w:val="Normal"/>
        <w:keepNext w:val="true"/>
        <w:pBdr>
          <w:bottom w:val="single" w:sz="12" w:space="4" w:color="0B3C5D"/>
        </w:pBdr>
        <w:spacing w:before="320" w:after="120"/>
        <w:rPr/>
      </w:pPr>
      <w:r>
        <w:rPr>
          <w:b/>
          <w:color w:val="0B3C5D"/>
          <w:sz w:val="30"/>
        </w:rPr>
        <w:t>3. Ideation &amp; Prioritization Matrix</w:t>
      </w:r>
    </w:p>
    <w:p>
      <w:pPr>
        <w:pStyle w:val="Normal"/>
        <w:keepNext w:val="true"/>
        <w:spacing w:before="240" w:after="80"/>
        <w:rPr/>
      </w:pPr>
      <w:r>
        <w:rPr>
          <w:b/>
          <w:color w:val="327396"/>
          <w:sz w:val="26"/>
        </w:rPr>
        <w:t>Brainstorming &amp; Problem Definition</w:t>
      </w:r>
    </w:p>
    <w:tbl>
      <w:tblPr>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9360"/>
      </w:tblGrid>
      <w:tr>
        <w:trPr/>
        <w:tc>
          <w:tcPr>
            <w:tcW w:w="9360" w:type="dxa"/>
            <w:tcBorders>
              <w:start w:val="single" w:sz="24" w:space="0" w:color="0B3C5D"/>
            </w:tcBorders>
            <w:shd w:fill="F0F4F8"/>
          </w:tcPr>
          <w:p>
            <w:pPr>
              <w:pStyle w:val="Normal"/>
              <w:spacing w:before="80" w:after="0"/>
              <w:rPr/>
            </w:pPr>
            <w:r>
              <w:rPr>
                <w:b/>
                <w:color w:val="0B3C5D"/>
              </w:rPr>
              <w:t>How Might We (HMW) Statement:</w:t>
              <w:br/>
            </w:r>
            <w:r>
              <w:rPr>
                <w:i/>
              </w:rPr>
              <w:t>“How might we seamlessly import, validate, and transform external employee spreadsheet data into ServiceNow using Import Sets and Transform Maps, ensuring existing employee records are updated and new employees are accurately inserted without duplication or data errors?”</w:t>
            </w:r>
          </w:p>
        </w:tc>
      </w:tr>
    </w:tbl>
    <w:p>
      <w:pPr>
        <w:pStyle w:val="Normal"/>
        <w:rPr/>
      </w:pPr>
      <w:r>
        <w:rPr/>
      </w:r>
    </w:p>
    <w:p>
      <w:pPr>
        <w:pStyle w:val="Normal"/>
        <w:keepNext w:val="true"/>
        <w:spacing w:before="240" w:after="80"/>
        <w:rPr/>
      </w:pPr>
      <w:r>
        <w:rPr>
          <w:b/>
          <w:color w:val="327396"/>
          <w:sz w:val="26"/>
        </w:rPr>
        <w:t>Prioritization Matrix (Importance vs. Feasibility)</w:t>
      </w:r>
    </w:p>
    <w:tbl>
      <w:tblPr>
        <w:tblW w:w="936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120"/>
        <w:gridCol w:w="3120"/>
        <w:gridCol w:w="3120"/>
      </w:tblGrid>
      <w:tr>
        <w:trPr/>
        <w:tc>
          <w:tcPr>
            <w:tcW w:w="3120" w:type="dxa"/>
            <w:tcBorders/>
            <w:shd w:fill="0B3C5D"/>
          </w:tcPr>
          <w:p>
            <w:pPr>
              <w:pStyle w:val="Normal"/>
              <w:spacing w:before="0" w:after="40"/>
              <w:jc w:val="start"/>
              <w:rPr/>
            </w:pPr>
            <w:r>
              <w:rPr>
                <w:b/>
                <w:color w:val="FFFFFF"/>
              </w:rPr>
              <w:t>Category / Quadrant</w:t>
            </w:r>
          </w:p>
        </w:tc>
        <w:tc>
          <w:tcPr>
            <w:tcW w:w="3120" w:type="dxa"/>
            <w:tcBorders/>
            <w:shd w:fill="0B3C5D"/>
          </w:tcPr>
          <w:p>
            <w:pPr>
              <w:pStyle w:val="Normal"/>
              <w:spacing w:before="0" w:after="40"/>
              <w:jc w:val="start"/>
              <w:rPr/>
            </w:pPr>
            <w:r>
              <w:rPr>
                <w:b/>
                <w:color w:val="FFFFFF"/>
              </w:rPr>
              <w:t>Prioritized Feature</w:t>
            </w:r>
          </w:p>
        </w:tc>
        <w:tc>
          <w:tcPr>
            <w:tcW w:w="3120" w:type="dxa"/>
            <w:tcBorders/>
            <w:shd w:fill="0B3C5D"/>
          </w:tcPr>
          <w:p>
            <w:pPr>
              <w:pStyle w:val="Normal"/>
              <w:spacing w:before="0" w:after="40"/>
              <w:jc w:val="start"/>
              <w:rPr/>
            </w:pPr>
            <w:r>
              <w:rPr>
                <w:b/>
                <w:color w:val="FFFFFF"/>
              </w:rPr>
              <w:t>Implementation Rationale</w:t>
            </w:r>
          </w:p>
        </w:tc>
      </w:tr>
      <w:tr>
        <w:trPr/>
        <w:tc>
          <w:tcPr>
            <w:tcW w:w="3120" w:type="dxa"/>
            <w:tcBorders>
              <w:top w:val="single" w:sz="4" w:space="0" w:color="CCCCCC"/>
              <w:bottom w:val="single" w:sz="4" w:space="0" w:color="CCCCCC"/>
            </w:tcBorders>
            <w:shd w:fill="F0F4F8"/>
          </w:tcPr>
          <w:p>
            <w:pPr>
              <w:pStyle w:val="Normal"/>
              <w:spacing w:before="0" w:after="40"/>
              <w:rPr/>
            </w:pPr>
            <w:r>
              <w:rPr>
                <w:b/>
                <w:color w:val="327396"/>
              </w:rPr>
              <w:t>High Importance /</w:t>
              <w:br/>
              <w:t>High Feasibility</w:t>
            </w:r>
          </w:p>
        </w:tc>
        <w:tc>
          <w:tcPr>
            <w:tcW w:w="3120" w:type="dxa"/>
            <w:tcBorders>
              <w:top w:val="single" w:sz="4" w:space="0" w:color="CCCCCC"/>
              <w:bottom w:val="single" w:sz="4" w:space="0" w:color="CCCCCC"/>
            </w:tcBorders>
            <w:shd w:fill="F0F4F8"/>
          </w:tcPr>
          <w:p>
            <w:pPr>
              <w:pStyle w:val="Normal"/>
              <w:spacing w:before="0" w:after="40"/>
              <w:rPr/>
            </w:pPr>
            <w:r>
              <w:rPr/>
              <w:t>Coalesce on Employee ID</w:t>
            </w:r>
          </w:p>
        </w:tc>
        <w:tc>
          <w:tcPr>
            <w:tcW w:w="3120" w:type="dxa"/>
            <w:tcBorders>
              <w:top w:val="single" w:sz="4" w:space="0" w:color="CCCCCC"/>
              <w:bottom w:val="single" w:sz="4" w:space="0" w:color="CCCCCC"/>
            </w:tcBorders>
            <w:shd w:fill="F0F4F8"/>
          </w:tcPr>
          <w:p>
            <w:pPr>
              <w:pStyle w:val="Normal"/>
              <w:spacing w:before="0" w:after="40"/>
              <w:rPr/>
            </w:pPr>
            <w:r>
              <w:rPr/>
              <w:t>Core project requirement; enforces update-or-insert (upsert) logic automatically.</w:t>
            </w:r>
          </w:p>
        </w:tc>
      </w:tr>
      <w:tr>
        <w:trPr/>
        <w:tc>
          <w:tcPr>
            <w:tcW w:w="3120" w:type="dxa"/>
            <w:tcBorders>
              <w:top w:val="single" w:sz="4" w:space="0" w:color="CCCCCC"/>
              <w:bottom w:val="single" w:sz="4" w:space="0" w:color="CCCCCC"/>
            </w:tcBorders>
            <w:shd w:fill="FFFFFF"/>
          </w:tcPr>
          <w:p>
            <w:pPr>
              <w:pStyle w:val="Normal"/>
              <w:spacing w:before="0" w:after="40"/>
              <w:rPr/>
            </w:pPr>
            <w:r>
              <w:rPr>
                <w:b/>
                <w:color w:val="327396"/>
              </w:rPr>
              <w:t>High Importance /</w:t>
              <w:br/>
              <w:t>High Feasibility</w:t>
            </w:r>
          </w:p>
        </w:tc>
        <w:tc>
          <w:tcPr>
            <w:tcW w:w="3120" w:type="dxa"/>
            <w:tcBorders>
              <w:top w:val="single" w:sz="4" w:space="0" w:color="CCCCCC"/>
              <w:bottom w:val="single" w:sz="4" w:space="0" w:color="CCCCCC"/>
            </w:tcBorders>
            <w:shd w:fill="FFFFFF"/>
          </w:tcPr>
          <w:p>
            <w:pPr>
              <w:pStyle w:val="Normal"/>
              <w:spacing w:before="0" w:after="40"/>
              <w:rPr/>
            </w:pPr>
            <w:r>
              <w:rPr/>
              <w:t>Direct Field Mapping</w:t>
            </w:r>
          </w:p>
        </w:tc>
        <w:tc>
          <w:tcPr>
            <w:tcW w:w="3120" w:type="dxa"/>
            <w:tcBorders>
              <w:top w:val="single" w:sz="4" w:space="0" w:color="CCCCCC"/>
              <w:bottom w:val="single" w:sz="4" w:space="0" w:color="CCCCCC"/>
            </w:tcBorders>
            <w:shd w:fill="FFFFFF"/>
          </w:tcPr>
          <w:p>
            <w:pPr>
              <w:pStyle w:val="Normal"/>
              <w:spacing w:before="0" w:after="40"/>
              <w:rPr/>
            </w:pPr>
            <w:r>
              <w:rPr/>
              <w:t>Maps Name, Email, Department, and Location directly to target table schema.</w:t>
            </w:r>
          </w:p>
        </w:tc>
      </w:tr>
      <w:tr>
        <w:trPr/>
        <w:tc>
          <w:tcPr>
            <w:tcW w:w="3120" w:type="dxa"/>
            <w:tcBorders>
              <w:top w:val="single" w:sz="4" w:space="0" w:color="CCCCCC"/>
              <w:bottom w:val="single" w:sz="4" w:space="0" w:color="CCCCCC"/>
            </w:tcBorders>
            <w:shd w:fill="F0F4F8"/>
          </w:tcPr>
          <w:p>
            <w:pPr>
              <w:pStyle w:val="Normal"/>
              <w:spacing w:before="0" w:after="40"/>
              <w:rPr/>
            </w:pPr>
            <w:r>
              <w:rPr>
                <w:b/>
                <w:color w:val="327396"/>
              </w:rPr>
              <w:t>High Importance /</w:t>
              <w:br/>
              <w:t>Medium Feasibility</w:t>
            </w:r>
          </w:p>
        </w:tc>
        <w:tc>
          <w:tcPr>
            <w:tcW w:w="3120" w:type="dxa"/>
            <w:tcBorders>
              <w:top w:val="single" w:sz="4" w:space="0" w:color="CCCCCC"/>
              <w:bottom w:val="single" w:sz="4" w:space="0" w:color="CCCCCC"/>
            </w:tcBorders>
            <w:shd w:fill="F0F4F8"/>
          </w:tcPr>
          <w:p>
            <w:pPr>
              <w:pStyle w:val="Normal"/>
              <w:spacing w:before="0" w:after="40"/>
              <w:rPr/>
            </w:pPr>
            <w:r>
              <w:rPr/>
              <w:t>Reference Field Action Handling</w:t>
            </w:r>
          </w:p>
        </w:tc>
        <w:tc>
          <w:tcPr>
            <w:tcW w:w="3120" w:type="dxa"/>
            <w:tcBorders>
              <w:top w:val="single" w:sz="4" w:space="0" w:color="CCCCCC"/>
              <w:bottom w:val="single" w:sz="4" w:space="0" w:color="CCCCCC"/>
            </w:tcBorders>
            <w:shd w:fill="F0F4F8"/>
          </w:tcPr>
          <w:p>
            <w:pPr>
              <w:pStyle w:val="Normal"/>
              <w:spacing w:before="0" w:after="40"/>
              <w:rPr/>
            </w:pPr>
            <w:r>
              <w:rPr/>
              <w:t>Prevents corrupt or orphan reference records during Department and Location insertion.</w:t>
            </w:r>
          </w:p>
        </w:tc>
      </w:tr>
      <w:tr>
        <w:trPr/>
        <w:tc>
          <w:tcPr>
            <w:tcW w:w="3120" w:type="dxa"/>
            <w:tcBorders>
              <w:top w:val="single" w:sz="4" w:space="0" w:color="CCCCCC"/>
              <w:bottom w:val="single" w:sz="4" w:space="0" w:color="CCCCCC"/>
            </w:tcBorders>
            <w:shd w:fill="FFFFFF"/>
          </w:tcPr>
          <w:p>
            <w:pPr>
              <w:pStyle w:val="Normal"/>
              <w:spacing w:before="0" w:after="40"/>
              <w:rPr/>
            </w:pPr>
            <w:r>
              <w:rPr>
                <w:b/>
                <w:color w:val="327396"/>
              </w:rPr>
              <w:t>Medium Importance /</w:t>
              <w:br/>
              <w:t>High Feasibility</w:t>
            </w:r>
          </w:p>
        </w:tc>
        <w:tc>
          <w:tcPr>
            <w:tcW w:w="3120" w:type="dxa"/>
            <w:tcBorders>
              <w:top w:val="single" w:sz="4" w:space="0" w:color="CCCCCC"/>
              <w:bottom w:val="single" w:sz="4" w:space="0" w:color="CCCCCC"/>
            </w:tcBorders>
            <w:shd w:fill="FFFFFF"/>
          </w:tcPr>
          <w:p>
            <w:pPr>
              <w:pStyle w:val="Normal"/>
              <w:spacing w:before="0" w:after="40"/>
              <w:rPr/>
            </w:pPr>
            <w:r>
              <w:rPr/>
              <w:t>Out-of-the-Box Import Logs</w:t>
            </w:r>
          </w:p>
        </w:tc>
        <w:tc>
          <w:tcPr>
            <w:tcW w:w="3120" w:type="dxa"/>
            <w:tcBorders>
              <w:top w:val="single" w:sz="4" w:space="0" w:color="CCCCCC"/>
              <w:bottom w:val="single" w:sz="4" w:space="0" w:color="CCCCCC"/>
            </w:tcBorders>
            <w:shd w:fill="FFFFFF"/>
          </w:tcPr>
          <w:p>
            <w:pPr>
              <w:pStyle w:val="Normal"/>
              <w:spacing w:before="0" w:after="40"/>
              <w:rPr/>
            </w:pPr>
            <w:r>
              <w:rPr/>
              <w:t>Provides immediate visibility into successful vs. failed record transformations.</w:t>
            </w:r>
          </w:p>
        </w:tc>
      </w:tr>
    </w:tbl>
    <w:p>
      <w:pPr>
        <w:pStyle w:val="Normal"/>
        <w:keepNext w:val="true"/>
        <w:pBdr>
          <w:bottom w:val="single" w:sz="12" w:space="4" w:color="0B3C5D"/>
        </w:pBdr>
        <w:spacing w:before="320" w:after="120"/>
        <w:rPr/>
      </w:pPr>
      <w:r>
        <w:rPr>
          <w:b/>
          <w:color w:val="0B3C5D"/>
          <w:sz w:val="30"/>
        </w:rPr>
        <w:t>4. Step-by-Step Implementation Guide</w:t>
      </w:r>
    </w:p>
    <w:p>
      <w:pPr>
        <w:pStyle w:val="Normal"/>
        <w:spacing w:before="0" w:after="80"/>
        <w:rPr/>
      </w:pPr>
      <w:r>
        <w:rPr>
          <w:b/>
          <w:color w:val="0B3C5D"/>
        </w:rPr>
        <w:t>Step 1: Create Staging Table</w:t>
        <w:br/>
      </w:r>
      <w:r>
        <w:rPr/>
        <w:t>Navigate to System Import Sets &gt; Load Data. Upload the employee spreadsheet file (.xlsx / .csv) and create a new Import Set Staging Table.</w:t>
      </w:r>
    </w:p>
    <w:p>
      <w:pPr>
        <w:pStyle w:val="Normal"/>
        <w:spacing w:before="0" w:after="80"/>
        <w:rPr/>
      </w:pPr>
      <w:r>
        <w:rPr>
          <w:b/>
          <w:color w:val="0B3C5D"/>
        </w:rPr>
        <w:t>Step 2: Create Transform Map</w:t>
        <w:br/>
      </w:r>
      <w:r>
        <w:rPr/>
        <w:t>Navigate to System Import Sets &gt; Create Transform Map. Set a descriptive name and select the target Employee table (e.g., sys_user or custom table).</w:t>
      </w:r>
    </w:p>
    <w:p>
      <w:pPr>
        <w:pStyle w:val="Normal"/>
        <w:spacing w:before="0" w:after="80"/>
        <w:rPr/>
      </w:pPr>
      <w:r>
        <w:rPr>
          <w:b/>
          <w:color w:val="0B3C5D"/>
        </w:rPr>
        <w:t>Step 3: Configure Field Maps</w:t>
        <w:br/>
      </w:r>
      <w:r>
        <w:rPr/>
        <w:t>Map source spreadsheet fields (Employee ID, Name, Email, Department, Location) to their corresponding target columns in ServiceNow.</w:t>
      </w:r>
    </w:p>
    <w:p>
      <w:pPr>
        <w:pStyle w:val="Normal"/>
        <w:spacing w:before="0" w:after="80"/>
        <w:rPr/>
      </w:pPr>
      <w:r>
        <w:rPr>
          <w:b/>
          <w:color w:val="0B3C5D"/>
        </w:rPr>
        <w:t>Step 4: Set Coalesce Key</w:t>
        <w:br/>
      </w:r>
      <w:r>
        <w:rPr/>
        <w:t>In the Field Maps list, edit the u_employee_id field entry and set Coalesce = true. This enables automatic upsert logic.</w:t>
      </w:r>
    </w:p>
    <w:p>
      <w:pPr>
        <w:pStyle w:val="Normal"/>
        <w:spacing w:before="0" w:after="80"/>
        <w:rPr/>
      </w:pPr>
      <w:r>
        <w:rPr>
          <w:b/>
          <w:color w:val="0B3C5D"/>
        </w:rPr>
        <w:t>Step 5: Execute &amp; Validate</w:t>
        <w:br/>
      </w:r>
      <w:r>
        <w:rPr/>
        <w:t>Run the transformation process. Review the Import Set Run log to confirm existing records were updated and new employees were successfully inserted.</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Calibri" w:hAnsi="Calibri" w:eastAsia="ＭＳ 明朝" w:cs=""/>
      <w:color w:val="33333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LibreOffice/25.8.2.2$Windows_X86_64 LibreOffice_project/d401f2107ccab8f924a8e2df40f573aab7605b6f</Application>
  <AppVersion>15.0000</AppVersion>
  <Pages>3</Pages>
  <Words>524</Words>
  <Characters>3093</Characters>
  <CharactersWithSpaces>3572</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2026-10-03T13:18:00Z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