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F172A"/>
          <w:sz w:val="48"/>
        </w:rPr>
        <w:t>FocusLock: Comprehensive Privacy, Ethics &amp; Security Assessment</w:t>
      </w:r>
    </w:p>
    <w:p>
      <w:r>
        <w:rPr>
          <w:i/>
          <w:color w:val="475569"/>
          <w:sz w:val="26"/>
        </w:rPr>
        <w:t>Analysis of Privacy Vulnerabilities, BYOD Implications, Regulatory Compliance (FERPA / GDPR), and Mitigation Guidelines</w:t>
      </w:r>
    </w:p>
    <w:p>
      <w:pPr>
        <w:spacing w:after="240"/>
      </w:pPr>
    </w:p>
    <w:tbl>
      <w:tblPr>
        <w:tblW w:type="auto" w:w="0"/>
        <w:jc w:val="center"/>
        <w:tblLook w:firstColumn="1" w:firstRow="1" w:lastColumn="0" w:lastRow="0" w:noHBand="0" w:noVBand="1" w:val="04A0"/>
      </w:tblPr>
      <w:tblGrid>
        <w:gridCol w:w="4680"/>
        <w:gridCol w:w="4680"/>
      </w:tblGrid>
      <w:tr>
        <w:tc>
          <w:tcPr>
            <w:tcW w:type="dxa" w:w="3168"/>
            <w:shd w:val="clear" w:color="auto" w:fill="F1F5F9"/>
          </w:tcPr>
          <w:p>
            <w:r>
              <w:rPr>
                <w:b/>
                <w:color w:val="1E293B"/>
                <w:sz w:val="20"/>
              </w:rPr>
              <w:t>System Target:</w:t>
            </w:r>
          </w:p>
        </w:tc>
        <w:tc>
          <w:tcPr>
            <w:tcW w:type="dxa" w:w="6192"/>
            <w:shd w:val="clear" w:color="auto" w:fill="F8FAFC"/>
          </w:tcPr>
          <w:p>
            <w:r>
              <w:rPr>
                <w:color w:val="334155"/>
                <w:sz w:val="20"/>
              </w:rPr>
              <w:t>FocusLock — Session-Scoped Verified Attendance &amp; Focus Client</w:t>
            </w:r>
          </w:p>
        </w:tc>
      </w:tr>
      <w:tr>
        <w:tc>
          <w:tcPr>
            <w:tcW w:type="dxa" w:w="3168"/>
            <w:shd w:val="clear" w:color="auto" w:fill="F1F5F9"/>
          </w:tcPr>
          <w:p>
            <w:r>
              <w:rPr>
                <w:b/>
                <w:color w:val="1E293B"/>
                <w:sz w:val="20"/>
              </w:rPr>
              <w:t>Architecture Model:</w:t>
            </w:r>
          </w:p>
        </w:tc>
        <w:tc>
          <w:tcPr>
            <w:tcW w:type="dxa" w:w="6192"/>
            <w:shd w:val="clear" w:color="auto" w:fill="F8FAFC"/>
          </w:tcPr>
          <w:p>
            <w:r>
              <w:rPr>
                <w:color w:val="334155"/>
                <w:sz w:val="20"/>
              </w:rPr>
              <w:t>Zero-Trust Companion (FastAPI + Next.js PWA + Android VpnService)</w:t>
            </w:r>
          </w:p>
        </w:tc>
      </w:tr>
      <w:tr>
        <w:tc>
          <w:tcPr>
            <w:tcW w:type="dxa" w:w="3168"/>
            <w:shd w:val="clear" w:color="auto" w:fill="F1F5F9"/>
          </w:tcPr>
          <w:p>
            <w:r>
              <w:rPr>
                <w:b/>
                <w:color w:val="1E293B"/>
                <w:sz w:val="20"/>
              </w:rPr>
              <w:t>Target Environment:</w:t>
            </w:r>
          </w:p>
        </w:tc>
        <w:tc>
          <w:tcPr>
            <w:tcW w:type="dxa" w:w="6192"/>
            <w:shd w:val="clear" w:color="auto" w:fill="F8FAFC"/>
          </w:tcPr>
          <w:p>
            <w:r>
              <w:rPr>
                <w:color w:val="334155"/>
                <w:sz w:val="20"/>
              </w:rPr>
              <w:t>Higher Education &amp; Academic Examination Halls (BYOD Devices)</w:t>
            </w:r>
          </w:p>
        </w:tc>
      </w:tr>
      <w:tr>
        <w:tc>
          <w:tcPr>
            <w:tcW w:type="dxa" w:w="3168"/>
            <w:shd w:val="clear" w:color="auto" w:fill="F1F5F9"/>
          </w:tcPr>
          <w:p>
            <w:r>
              <w:rPr>
                <w:b/>
                <w:color w:val="1E293B"/>
                <w:sz w:val="20"/>
              </w:rPr>
              <w:t>Assessment Date:</w:t>
            </w:r>
          </w:p>
        </w:tc>
        <w:tc>
          <w:tcPr>
            <w:tcW w:type="dxa" w:w="6192"/>
            <w:shd w:val="clear" w:color="auto" w:fill="F8FAFC"/>
          </w:tcPr>
          <w:p>
            <w:r>
              <w:rPr>
                <w:color w:val="334155"/>
                <w:sz w:val="20"/>
              </w:rPr>
              <w:t>October 2026 — Comprehensive Evaluation Report</w:t>
            </w:r>
          </w:p>
        </w:tc>
      </w:tr>
    </w:tbl>
    <w:p>
      <w:pPr>
        <w:spacing w:after="320"/>
      </w:pPr>
    </w:p>
    <w:p>
      <w:pPr>
        <w:pStyle w:val="Heading1"/>
      </w:pPr>
      <w:r>
        <w:t>1. Executive Summary</w:t>
      </w:r>
    </w:p>
    <w:p>
      <w:r>
        <w:t>FocusLock is engineered as a session-scoped digital containment and attendance platform designed to curb academic proxy attendance (e.g., WhatsApp QR sharing) and student digital distractions. Unlike traditional proctoring solutions that rely on invasive screen capture, audio snooping, or biometric AI analysis, FocusLock uses a local blackhole VPN and client-side attestation APIs.</w:t>
      </w:r>
    </w:p>
    <w:p>
      <w:r>
        <w:t>However, deploying deep system-level controls on Bring-Your-Own-Device (BYOD) student smartphones introduces substantial technical, legal, and psychological privacy concerns. This document breaks down the five core privacy risks inherent in this architecture, analyzes regulatory liabilities under FERPA and GDPR, and outlines practical engineering safeguards.</w:t>
      </w:r>
    </w:p>
    <w:p>
      <w:pPr>
        <w:pStyle w:val="Heading1"/>
      </w:pPr>
      <w:r>
        <w:t>2. Deep-Dive: The 5 Major Privacy &amp; Ethical Risks</w:t>
      </w:r>
    </w:p>
    <w:p>
      <w:pPr>
        <w:pStyle w:val="Heading2"/>
      </w:pPr>
      <w:r>
        <w:t>2.1 The VPN 'Perception vs. Technical Capability' Gap</w:t>
      </w:r>
    </w:p>
    <w:p>
      <w:r>
        <w:t>Technical Reality: On Android, VpnService creates a virtual TUN interface with full catch-all routes (0.0.0.0/0 and ::/0). In FocusLock's design, packets directed into this tunnel are discarded in a daemon thread without reading headers, payloads, or destinations (a zero-knowledge blackhole).</w:t>
      </w:r>
    </w:p>
    <w:p>
      <w:r>
        <w:t>Privacy Risk:</w:t>
        <w:br/>
        <w:t>• Root-Level Perception: Students see the Android system warning ('FocusLock can monitor all network traffic'). This triggers immediate suspicion that faculty can read WhatsApp messages, personal photos, or banking activity.</w:t>
        <w:br/>
        <w:t>• Update Vulnerability: Because a VPN inherently receives every packet, a compromised or poorly audited update could trivially alter the blackhole drain thread to log Server Name Indication (SNI) records, DNS queries, or visited domains without user consent.</w:t>
        <w:br/>
        <w:t>• Institutional Trust Deficit: Mandating a local VPN on personal devices risks severe institutional backlash and union/student council resistance.</w:t>
      </w:r>
    </w:p>
    <w:p>
      <w:pPr>
        <w:pStyle w:val="Heading2"/>
      </w:pPr>
      <w:r>
        <w:t>2.2 Physical Location Tracking via BSSID Harvesting</w:t>
      </w:r>
    </w:p>
    <w:p>
      <w:r>
        <w:t>Technical Reality: Attendance punch-in checks that the student's device is connected to the specific classroom Wi-Fi access point (e.g., BSSID_ROOM_302).</w:t>
      </w:r>
    </w:p>
    <w:p>
      <w:r>
        <w:t>Privacy Risk:</w:t>
        <w:br/>
        <w:t>• Micro-Location Pinpointing: Unlike coarse IP addresses, Wi-Fi BSSIDs (MAC addresses of access points) are globally unique. Cross-referencing BSSIDs with public spatial databases (such as WiGLE or Google Location Services) pinpoints physical locations down to a specific desk or lecture theater.</w:t>
        <w:br/>
        <w:t>• Trajectory Profiling: If historical BSSIDs are recorded across semesters, campus administrators inadvertently create a granular spatial-temporal movement log of individual students across campus throughout their academic career.</w:t>
      </w:r>
    </w:p>
    <w:p>
      <w:pPr>
        <w:pStyle w:val="Heading2"/>
      </w:pPr>
      <w:r>
        <w:t>2.3 Public Classroom Shaming &amp; Educational Record Exposure (FERPA / GDPR)</w:t>
      </w:r>
    </w:p>
    <w:p>
      <w:r>
        <w:t>Technical Reality: The Faculty Dashboard renders a live student grid indicating whether each student is '🟢 Focused', '🟡 Distracted', or '🔴 Proxy Flagged'.</w:t>
      </w:r>
    </w:p>
    <w:p>
      <w:r>
        <w:t>Privacy Risk:</w:t>
        <w:br/>
        <w:t>• Classroom Projector Exposure: Projecting this live matrix on a 150-person lecture hall screen publicly exposes students who switch tabs, look up reference notes, or attend to medical/personal messages.</w:t>
        <w:br/>
        <w:t>• Legal Exposure under FERPA (US): Attendance logs and disciplinary flags are confidential student records. Broadcasting a student's active distraction status to an entire lecture hall violates privacy guarantees.</w:t>
        <w:br/>
        <w:t>• Neurodivergence &amp; Bias: Students with ADHD or assistive reading setups frequently toggle windows, which naively flags them as 'Distracted', causing public embarrassment and unfair academic bias.</w:t>
      </w:r>
    </w:p>
    <w:p>
      <w:pPr>
        <w:pStyle w:val="Heading2"/>
      </w:pPr>
      <w:r>
        <w:t>2.4 False Positives &amp; Defamatory Proxy Accusations</w:t>
      </w:r>
    </w:p>
    <w:p>
      <w:r>
        <w:t>Technical Reality: The anomaly engine flags an attendance punch as 'ANOMALY_PROXY_DETECTED' if the BSSID differs or if device fingerprints collide.</w:t>
      </w:r>
    </w:p>
    <w:p>
      <w:r>
        <w:t>Privacy Risk:</w:t>
        <w:br/>
        <w:t>• Campus Mesh Roaming: Modern enterprise Wi-Fi networks dynamically hand off connections between multiple APs. A student physically seated in the classroom whose phone connects to a hallway access point will be flagged as an offsite fraudster.</w:t>
        <w:br/>
        <w:t>• Privacy Tools Collision: Privacy-conscious students using Apple Private Relay, Android Private DNS, or randomized MAC addresses will trigger proxy warnings through no fault of their own.</w:t>
        <w:br/>
        <w:t>• Defamation &amp; Grade Penalties: False accusations of cheating damage student-faculty rapport and create administrative appeal backlogs.</w:t>
      </w:r>
    </w:p>
    <w:p>
      <w:pPr>
        <w:pStyle w:val="Heading2"/>
      </w:pPr>
      <w:r>
        <w:t>2.5 Communication Interruption: Emergency &amp; Personal Calling</w:t>
      </w:r>
    </w:p>
    <w:p>
      <w:r>
        <w:t>Technical Reality: The VPN drops all non-FocusLock data packets across IPv4 and IPv6.</w:t>
      </w:r>
    </w:p>
    <w:p>
      <w:r>
        <w:t>Privacy &amp; Safety Risk:</w:t>
        <w:br/>
        <w:t>• VoIP Calling Blackout: While cellular voice calls (GSM/VoLTE) bypass the tunnel, all modern IP communications (WhatsApp Audio, FaceTime, Telegram, Zoom, Google Meet) are completely severed.</w:t>
        <w:br/>
        <w:t>• Critical Alert Suppression: Students caring for sick relatives, dependent children, or receiving medical monitor alerts (e.g., continuous glucose monitors via cloud sync) are cut off from vital health and family communications during sessions.</w:t>
      </w:r>
    </w:p>
    <w:p>
      <w:pPr>
        <w:pStyle w:val="Heading1"/>
      </w:pPr>
      <w:r>
        <w:t>3. Regulatory &amp; Legal Compliance Matrix</w:t>
      </w:r>
    </w:p>
    <w:tbl>
      <w:tblPr>
        <w:tblW w:type="auto" w:w="0"/>
        <w:jc w:val="center"/>
        <w:tblLook w:firstColumn="1" w:firstRow="1" w:lastColumn="0" w:lastRow="0" w:noHBand="0" w:noVBand="1" w:val="04A0"/>
      </w:tblPr>
      <w:tblGrid>
        <w:gridCol w:w="3120"/>
        <w:gridCol w:w="3120"/>
        <w:gridCol w:w="3120"/>
      </w:tblGrid>
      <w:tr>
        <w:tc>
          <w:tcPr>
            <w:tcW w:type="dxa" w:w="2592"/>
            <w:shd w:val="clear" w:color="auto" w:fill="0F172A"/>
          </w:tcPr>
          <w:p>
            <w:r>
              <w:rPr>
                <w:b/>
                <w:color w:val="FFFFFF"/>
                <w:sz w:val="20"/>
              </w:rPr>
              <w:t>Regulatory Framework</w:t>
            </w:r>
          </w:p>
        </w:tc>
        <w:tc>
          <w:tcPr>
            <w:tcW w:type="dxa" w:w="3312"/>
            <w:shd w:val="clear" w:color="auto" w:fill="0F172A"/>
          </w:tcPr>
          <w:p>
            <w:r>
              <w:rPr>
                <w:b/>
                <w:color w:val="FFFFFF"/>
                <w:sz w:val="20"/>
              </w:rPr>
              <w:t>FocusLock Liability Trigger</w:t>
            </w:r>
          </w:p>
        </w:tc>
        <w:tc>
          <w:tcPr>
            <w:tcW w:type="dxa" w:w="3456"/>
            <w:shd w:val="clear" w:color="auto" w:fill="0F172A"/>
          </w:tcPr>
          <w:p>
            <w:r>
              <w:rPr>
                <w:b/>
                <w:color w:val="FFFFFF"/>
                <w:sz w:val="20"/>
              </w:rPr>
              <w:t>Required Compliance Remediation</w:t>
            </w:r>
          </w:p>
        </w:tc>
      </w:tr>
      <w:tr>
        <w:tc>
          <w:tcPr>
            <w:tcW w:type="dxa" w:w="2592"/>
            <w:shd w:val="clear" w:color="auto" w:fill="F8FAFC"/>
          </w:tcPr>
          <w:p>
            <w:r>
              <w:rPr>
                <w:sz w:val="19"/>
              </w:rPr>
              <w:t>FERPA (Family Educational Rights and Privacy Act — US)</w:t>
            </w:r>
          </w:p>
        </w:tc>
        <w:tc>
          <w:tcPr>
            <w:tcW w:type="dxa" w:w="3312"/>
            <w:shd w:val="clear" w:color="auto" w:fill="F8FAFC"/>
          </w:tcPr>
          <w:p>
            <w:r>
              <w:rPr>
                <w:sz w:val="19"/>
              </w:rPr>
              <w:t>Publicly projecting individual student engagement badges ('Distracted', 'Proxy Attempt') on classroom screens.</w:t>
            </w:r>
          </w:p>
        </w:tc>
        <w:tc>
          <w:tcPr>
            <w:tcW w:type="dxa" w:w="3456"/>
            <w:shd w:val="clear" w:color="auto" w:fill="F8FAFC"/>
          </w:tcPr>
          <w:p>
            <w:r>
              <w:rPr>
                <w:sz w:val="19"/>
              </w:rPr>
              <w:t>Enforce Dual-Display Mode: The projector view must show ONLY aggregate percentages and the QR code. Individual names stay on instructor's private screen.</w:t>
            </w:r>
          </w:p>
        </w:tc>
      </w:tr>
      <w:tr>
        <w:tc>
          <w:tcPr>
            <w:tcW w:type="dxa" w:w="2592"/>
            <w:shd w:val="clear" w:color="auto" w:fill="FFFFFF"/>
          </w:tcPr>
          <w:p>
            <w:r>
              <w:rPr>
                <w:sz w:val="19"/>
              </w:rPr>
              <w:t>GDPR (General Data Protection Regulation — EU)</w:t>
            </w:r>
          </w:p>
        </w:tc>
        <w:tc>
          <w:tcPr>
            <w:tcW w:type="dxa" w:w="3312"/>
            <w:shd w:val="clear" w:color="auto" w:fill="FFFFFF"/>
          </w:tcPr>
          <w:p>
            <w:r>
              <w:rPr>
                <w:sz w:val="19"/>
              </w:rPr>
              <w:t>Processing BSSID hardware identifiers and device fingerprints without verifiable informed consent and data minimization.</w:t>
            </w:r>
          </w:p>
        </w:tc>
        <w:tc>
          <w:tcPr>
            <w:tcW w:type="dxa" w:w="3456"/>
            <w:shd w:val="clear" w:color="auto" w:fill="FFFFFF"/>
          </w:tcPr>
          <w:p>
            <w:r>
              <w:rPr>
                <w:sz w:val="19"/>
              </w:rPr>
              <w:t>Make the VPN strictly optional (opt-in). Never persist raw BSSIDs to disk; compute one-way salted verification hashes.</w:t>
            </w:r>
          </w:p>
        </w:tc>
      </w:tr>
      <w:tr>
        <w:tc>
          <w:tcPr>
            <w:tcW w:type="dxa" w:w="2592"/>
            <w:shd w:val="clear" w:color="auto" w:fill="F8FAFC"/>
          </w:tcPr>
          <w:p>
            <w:r>
              <w:rPr>
                <w:sz w:val="19"/>
              </w:rPr>
              <w:t>DPDP Act (Digital Personal Data Protection Act — India)</w:t>
            </w:r>
          </w:p>
        </w:tc>
        <w:tc>
          <w:tcPr>
            <w:tcW w:type="dxa" w:w="3312"/>
            <w:shd w:val="clear" w:color="auto" w:fill="F8FAFC"/>
          </w:tcPr>
          <w:p>
            <w:r>
              <w:rPr>
                <w:sz w:val="19"/>
              </w:rPr>
              <w:t>Mandating personal smartphone data interception without clear purpose limitation and emergency opt-out guarantees.</w:t>
            </w:r>
          </w:p>
        </w:tc>
        <w:tc>
          <w:tcPr>
            <w:tcW w:type="dxa" w:w="3456"/>
            <w:shd w:val="clear" w:color="auto" w:fill="F8FAFC"/>
          </w:tcPr>
          <w:p>
            <w:r>
              <w:rPr>
                <w:sz w:val="19"/>
              </w:rPr>
              <w:t>Guarantee instant session exit, zero tracking outside lecture hours, and automatic data deletion after 24 hours.</w:t>
            </w:r>
          </w:p>
        </w:tc>
      </w:tr>
    </w:tbl>
    <w:p>
      <w:pPr>
        <w:spacing w:after="320"/>
      </w:pPr>
    </w:p>
    <w:p>
      <w:pPr>
        <w:pStyle w:val="Heading1"/>
      </w:pPr>
      <w:r>
        <w:t>4. Production Hardening &amp; Policy Recommendations</w:t>
      </w:r>
    </w:p>
    <w:p>
      <w:pPr>
        <w:pStyle w:val="ListBullet"/>
      </w:pPr>
      <w:r>
        <w:rPr>
          <w:b/>
          <w:color w:val="0F172A"/>
        </w:rPr>
        <w:t xml:space="preserve">Zero-Storage Telemetry Principle: </w:t>
      </w:r>
      <w:r>
        <w:rPr>
          <w:color w:val="334155"/>
        </w:rPr>
        <w:t>Do not store raw BSSIDs, IP addresses, or device IDs in persistent databases. Validate them ephemerally in RAM and discard immediately after check-in.</w:t>
      </w:r>
    </w:p>
    <w:p>
      <w:pPr>
        <w:pStyle w:val="ListBullet"/>
      </w:pPr>
      <w:r>
        <w:rPr>
          <w:b/>
          <w:color w:val="0F172A"/>
        </w:rPr>
        <w:t xml:space="preserve">Decoupled Projector View: </w:t>
      </w:r>
      <w:r>
        <w:rPr>
          <w:color w:val="334155"/>
        </w:rPr>
        <w:t>The faculty dashboard must provide a 'Projector Mode' that displays the 15-second rolling QR code and an anonymous class count (e.g. '88% of class focused'). Private student names and alerts must never be projected on public screens.</w:t>
      </w:r>
    </w:p>
    <w:p>
      <w:pPr>
        <w:pStyle w:val="ListBullet"/>
      </w:pPr>
      <w:r>
        <w:rPr>
          <w:b/>
          <w:color w:val="0F172A"/>
        </w:rPr>
        <w:t xml:space="preserve">Transparent Open-Source Auditing: </w:t>
      </w:r>
      <w:r>
        <w:rPr>
          <w:color w:val="334155"/>
        </w:rPr>
        <w:t>Publish the mobile and VPN source code so student councils and privacy officers can independently verify that packets are dropped locally without surveillance.</w:t>
      </w:r>
    </w:p>
    <w:p>
      <w:pPr>
        <w:pStyle w:val="ListBullet"/>
      </w:pPr>
      <w:r>
        <w:rPr>
          <w:b/>
          <w:color w:val="0F172A"/>
        </w:rPr>
        <w:t xml:space="preserve">Attestation Warnings over Punitive Flags: </w:t>
      </w:r>
      <w:r>
        <w:rPr>
          <w:color w:val="334155"/>
        </w:rPr>
        <w:t>Re-label 'Proxy Flagged' to 'Network Verification Needed' to prevent immediate academic stigmatization resulting from Wi-Fi mesh roaming or Private DNS usage.</w:t>
      </w:r>
    </w:p>
    <w:p>
      <w:pPr>
        <w:pStyle w:val="ListBullet"/>
      </w:pPr>
      <w:r>
        <w:rPr>
          <w:b/>
          <w:color w:val="0F172A"/>
        </w:rPr>
        <w:t xml:space="preserve">Guaranteed Physical &amp; Emergency Override: </w:t>
      </w:r>
      <w:r>
        <w:rPr>
          <w:color w:val="334155"/>
        </w:rPr>
        <w:t>Maintain the prominent 'Emergency 112' button that tears down the VPN immediately without waiting for server responses, ensuring seamless safety access.</w:t>
      </w:r>
    </w:p>
    <w:p>
      <w:pPr>
        <w:spacing w:after="400"/>
      </w:pPr>
    </w:p>
    <w:tbl>
      <w:tblPr>
        <w:tblW w:type="auto" w:w="0"/>
        <w:jc w:val="center"/>
        <w:tblLook w:firstColumn="1" w:firstRow="1" w:lastColumn="0" w:lastRow="0" w:noHBand="0" w:noVBand="1" w:val="04A0"/>
      </w:tblPr>
      <w:tblGrid>
        <w:gridCol w:w="9360"/>
      </w:tblGrid>
      <w:tr>
        <w:tc>
          <w:tcPr>
            <w:tcW w:type="dxa" w:w="9360"/>
            <w:shd w:val="clear" w:color="auto" w:fill="F1F5F9"/>
          </w:tcPr>
          <w:p>
            <w:pPr>
              <w:jc w:val="center"/>
            </w:pPr>
            <w:r>
              <w:rPr>
                <w:i/>
                <w:color w:val="475569"/>
                <w:sz w:val="19"/>
              </w:rPr>
              <w:t>FocusLock Security &amp; Privacy Assessment · Prepared for Academic Review &amp; Hackathon Jury Evaluation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284C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