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00C9" w:rsidRDefault="00753C80" w:rsidP="004C00C9">
      <w:pPr>
        <w:jc w:val="center"/>
        <w:rPr>
          <w:sz w:val="28"/>
          <w:szCs w:val="28"/>
        </w:rPr>
      </w:pPr>
      <w:r w:rsidRPr="00753C80">
        <w:rPr>
          <w:sz w:val="28"/>
          <w:szCs w:val="28"/>
        </w:rPr>
        <w:t>Inferential Statistical Analysis of Clinical Variables in Breast Cancer Coimbra Dataset</w:t>
      </w:r>
    </w:p>
    <w:p w:rsidR="00604AEF" w:rsidRDefault="00604AEF" w:rsidP="00604AEF">
      <w:pPr>
        <w:rPr>
          <w:rFonts w:ascii="Helvetica" w:hAnsi="Helvetica" w:cs="Helvetica"/>
          <w:kern w:val="0"/>
        </w:rPr>
      </w:pPr>
    </w:p>
    <w:p w:rsidR="00604AEF" w:rsidRPr="00604AEF" w:rsidRDefault="00604AEF" w:rsidP="00604AEF">
      <w:pPr>
        <w:rPr>
          <w:rFonts w:ascii="Times New Roman" w:hAnsi="Times New Roman" w:cs="Times New Roman"/>
          <w:sz w:val="22"/>
          <w:szCs w:val="22"/>
        </w:rPr>
      </w:pPr>
      <w:r w:rsidRPr="00604AEF">
        <w:rPr>
          <w:rFonts w:ascii="Times New Roman" w:hAnsi="Times New Roman" w:cs="Times New Roman"/>
          <w:b/>
          <w:bCs/>
          <w:kern w:val="0"/>
          <w:sz w:val="22"/>
          <w:szCs w:val="22"/>
        </w:rPr>
        <w:t>Course</w:t>
      </w:r>
      <w:r w:rsidRPr="00604AEF">
        <w:rPr>
          <w:rFonts w:ascii="Times New Roman" w:hAnsi="Times New Roman" w:cs="Times New Roman"/>
          <w:kern w:val="0"/>
          <w:sz w:val="22"/>
          <w:szCs w:val="22"/>
        </w:rPr>
        <w:t>: 21AIC401T - Inferential Statistics and Predictive Analytics</w:t>
      </w:r>
    </w:p>
    <w:p w:rsidR="004C00C9" w:rsidRPr="00604AEF" w:rsidRDefault="00604AEF" w:rsidP="00604AEF">
      <w:pPr>
        <w:spacing w:line="240" w:lineRule="auto"/>
        <w:rPr>
          <w:rFonts w:ascii="Times New Roman" w:hAnsi="Times New Roman" w:cs="Times New Roman"/>
          <w:sz w:val="22"/>
          <w:szCs w:val="22"/>
        </w:rPr>
      </w:pPr>
      <w:r w:rsidRPr="00604AEF">
        <w:rPr>
          <w:rFonts w:ascii="Times New Roman" w:hAnsi="Times New Roman" w:cs="Times New Roman"/>
          <w:b/>
          <w:bCs/>
          <w:sz w:val="22"/>
          <w:szCs w:val="22"/>
        </w:rPr>
        <w:t>Name</w:t>
      </w:r>
      <w:r>
        <w:rPr>
          <w:rFonts w:ascii="Times New Roman" w:hAnsi="Times New Roman" w:cs="Times New Roman"/>
          <w:b/>
          <w:bCs/>
          <w:sz w:val="22"/>
          <w:szCs w:val="22"/>
        </w:rPr>
        <w:t xml:space="preserve">: </w:t>
      </w:r>
      <w:r w:rsidRPr="00604AEF">
        <w:rPr>
          <w:rFonts w:ascii="Times New Roman" w:hAnsi="Times New Roman" w:cs="Times New Roman"/>
          <w:b/>
          <w:bCs/>
          <w:sz w:val="22"/>
          <w:szCs w:val="22"/>
        </w:rPr>
        <w:t xml:space="preserve"> </w:t>
      </w:r>
      <w:r w:rsidR="004C00C9" w:rsidRPr="00604AEF">
        <w:rPr>
          <w:rFonts w:ascii="Times New Roman" w:hAnsi="Times New Roman" w:cs="Times New Roman"/>
          <w:sz w:val="22"/>
          <w:szCs w:val="22"/>
        </w:rPr>
        <w:t xml:space="preserve">HARISH S </w:t>
      </w:r>
    </w:p>
    <w:p w:rsidR="004C00C9" w:rsidRPr="00604AEF" w:rsidRDefault="004C00C9" w:rsidP="00604AEF">
      <w:pPr>
        <w:spacing w:line="240" w:lineRule="auto"/>
        <w:rPr>
          <w:rFonts w:ascii="Times New Roman" w:hAnsi="Times New Roman" w:cs="Times New Roman"/>
          <w:sz w:val="22"/>
          <w:szCs w:val="22"/>
        </w:rPr>
      </w:pPr>
      <w:r w:rsidRPr="00604AEF">
        <w:rPr>
          <w:rFonts w:ascii="Times New Roman" w:hAnsi="Times New Roman" w:cs="Times New Roman"/>
          <w:sz w:val="22"/>
          <w:szCs w:val="22"/>
        </w:rPr>
        <w:t>RA2211047010062</w:t>
      </w:r>
    </w:p>
    <w:p w:rsidR="004C00C9" w:rsidRPr="00604AEF" w:rsidRDefault="004C00C9" w:rsidP="00604AEF">
      <w:pPr>
        <w:spacing w:line="240" w:lineRule="auto"/>
        <w:rPr>
          <w:rFonts w:ascii="Times New Roman" w:hAnsi="Times New Roman" w:cs="Times New Roman"/>
          <w:sz w:val="22"/>
          <w:szCs w:val="22"/>
        </w:rPr>
      </w:pPr>
      <w:r w:rsidRPr="00604AEF">
        <w:rPr>
          <w:rFonts w:ascii="Times New Roman" w:hAnsi="Times New Roman" w:cs="Times New Roman"/>
          <w:sz w:val="22"/>
          <w:szCs w:val="22"/>
        </w:rPr>
        <w:t>AI-A</w:t>
      </w:r>
    </w:p>
    <w:p w:rsidR="00753C80" w:rsidRPr="00753C80" w:rsidRDefault="00753C80" w:rsidP="00753C80">
      <w:pPr>
        <w:pStyle w:val="NormalWeb"/>
        <w:jc w:val="both"/>
        <w:rPr>
          <w:rStyle w:val="Strong"/>
          <w:rFonts w:eastAsiaTheme="majorEastAsia"/>
          <w:sz w:val="28"/>
          <w:szCs w:val="28"/>
        </w:rPr>
      </w:pPr>
      <w:r w:rsidRPr="00753C80">
        <w:rPr>
          <w:rStyle w:val="Strong"/>
          <w:rFonts w:eastAsiaTheme="majorEastAsia"/>
          <w:sz w:val="28"/>
          <w:szCs w:val="28"/>
        </w:rPr>
        <w:t>Abstract:</w:t>
      </w:r>
    </w:p>
    <w:p w:rsidR="00753C80" w:rsidRDefault="00753C80" w:rsidP="00753C80">
      <w:pPr>
        <w:pStyle w:val="NormalWeb"/>
        <w:jc w:val="both"/>
      </w:pPr>
      <w:r>
        <w:br/>
        <w:t>This study aims to explore the significance of key clinical biomarkers in assessing breast cancer risk using the Coimbra dataset, which includes variables such as glucose, BMI, insulin, age, and classification (healthy vs. cancer patients). A comprehensive inferential statistical analysis was conducted to identify potential differences in these clinical indicators and evaluate their relevance as predictive markers. Three statistical approaches were employed: a one-sample t-test, a two-sample t-test, and a one-way ANOVA, complemented by post-hoc analysis where applicable.</w:t>
      </w:r>
    </w:p>
    <w:p w:rsidR="00753C80" w:rsidRDefault="00753C80" w:rsidP="00753C80">
      <w:pPr>
        <w:pStyle w:val="NormalWeb"/>
        <w:jc w:val="both"/>
      </w:pPr>
      <w:r>
        <w:t>The one-sample t-test was conducted to compare the mean glucose levels of patients against a reference healthy value of 100 mg/dL. Results revealed that the mean glucose level was significantly higher than the standard reference, indicating a potential association between elevated glucose levels and breast cancer risk, and highlighting hyperglycemia as a possible early-warning biomarker. The two-sample t-test evaluated differences in body mass index (BMI) between cancer and healthy groups, which showed no statistically significant differences, suggesting that BMI alone may not be a strong differentiator in this cohort. Additionally, one-way ANOVA was performed to examine variations in insulin levels across three distinct age groups (20–40, 41–60, 61–80). The analysis indicated no significant differences, implying that insulin levels may not vary substantially with age in the studied population.</w:t>
      </w:r>
    </w:p>
    <w:p w:rsidR="00753C80" w:rsidRDefault="00753C80" w:rsidP="00753C80">
      <w:pPr>
        <w:pStyle w:val="NormalWeb"/>
        <w:jc w:val="both"/>
      </w:pPr>
      <w:r>
        <w:t>Assumption checks, including Shapiro-Wilk tests for normality and Levene’s test for homogeneity of variance, were conducted to ensure the validity of parametric testing. The results revealed violations of normality in the variables, which should be considered when interpreting the findings. Although post-hoc tests were not necessary due to non-significant ANOVA results, the methodology demonstrates a thorough approach to assessing differences across groups.</w:t>
      </w:r>
    </w:p>
    <w:p w:rsidR="004C00C9" w:rsidRDefault="00753C80" w:rsidP="004C00C9">
      <w:pPr>
        <w:pStyle w:val="NormalWeb"/>
        <w:jc w:val="both"/>
      </w:pPr>
      <w:r>
        <w:t>Overall, this study highlights glucose as a potential biomarker for breast cancer risk assessment, while BMI and insulin may require further investigation or alternative analytic approaches. These findings contribute to a better understanding of metabolic and physiological factors in breast cancer and provide a foundation for future research focusing on early detection and clinical decision-making strategies. Visualizations and statistical tests further support the reliability and interpretability of the results.</w:t>
      </w:r>
    </w:p>
    <w:p w:rsidR="00753C80" w:rsidRPr="004C00C9" w:rsidRDefault="00753C80" w:rsidP="004C00C9">
      <w:pPr>
        <w:pStyle w:val="NormalWeb"/>
        <w:jc w:val="both"/>
        <w:rPr>
          <w:rStyle w:val="Strong"/>
          <w:b w:val="0"/>
          <w:bCs w:val="0"/>
        </w:rPr>
      </w:pPr>
      <w:r w:rsidRPr="00753C80">
        <w:rPr>
          <w:rStyle w:val="Strong"/>
          <w:rFonts w:eastAsiaTheme="majorEastAsia"/>
          <w:sz w:val="28"/>
          <w:szCs w:val="28"/>
        </w:rPr>
        <w:lastRenderedPageBreak/>
        <w:t>Introduction:</w:t>
      </w:r>
    </w:p>
    <w:p w:rsidR="00753C80" w:rsidRPr="00753C80" w:rsidRDefault="00753C80" w:rsidP="00753C80">
      <w:pPr>
        <w:pStyle w:val="NormalWeb"/>
        <w:jc w:val="both"/>
      </w:pPr>
      <w:r>
        <w:br/>
      </w:r>
      <w:r w:rsidRPr="00753C80">
        <w:t>Breast cancer is one of the most prevalent cancers worldwide. Clinical indicators such as glucose, BMI, and insulin are linked to cancer progression and metabolic health. Understanding statistical differences between healthy and cancer patients or across age groups can provide insights into risk factors and management strategies.</w:t>
      </w:r>
    </w:p>
    <w:p w:rsidR="00753C80" w:rsidRPr="00753C80" w:rsidRDefault="00753C80" w:rsidP="00753C80">
      <w:pPr>
        <w:pStyle w:val="NormalWeb"/>
        <w:jc w:val="both"/>
      </w:pPr>
      <w:r w:rsidRPr="00753C80">
        <w:rPr>
          <w:rStyle w:val="Strong"/>
          <w:rFonts w:eastAsiaTheme="majorEastAsia"/>
        </w:rPr>
        <w:t>Dataset Description:</w:t>
      </w:r>
    </w:p>
    <w:p w:rsidR="00753C80" w:rsidRPr="00753C80" w:rsidRDefault="00753C80" w:rsidP="00753C80">
      <w:pPr>
        <w:pStyle w:val="NormalWeb"/>
        <w:numPr>
          <w:ilvl w:val="0"/>
          <w:numId w:val="5"/>
        </w:numPr>
        <w:jc w:val="both"/>
      </w:pPr>
      <w:r w:rsidRPr="00753C80">
        <w:t xml:space="preserve">Source: </w:t>
      </w:r>
      <w:hyperlink r:id="rId5" w:tgtFrame="_new" w:history="1">
        <w:r w:rsidRPr="00753C80">
          <w:rPr>
            <w:rStyle w:val="Hyperlink"/>
            <w:rFonts w:eastAsiaTheme="majorEastAsia"/>
          </w:rPr>
          <w:t>Breast Cancer Coimbra Dataset, Kaggle</w:t>
        </w:r>
      </w:hyperlink>
    </w:p>
    <w:p w:rsidR="00753C80" w:rsidRPr="00753C80" w:rsidRDefault="00753C80" w:rsidP="00753C80">
      <w:pPr>
        <w:pStyle w:val="NormalWeb"/>
        <w:numPr>
          <w:ilvl w:val="0"/>
          <w:numId w:val="5"/>
        </w:numPr>
        <w:jc w:val="both"/>
      </w:pPr>
      <w:r w:rsidRPr="00753C80">
        <w:t>Number of observations: 116</w:t>
      </w:r>
    </w:p>
    <w:p w:rsidR="00753C80" w:rsidRPr="00753C80" w:rsidRDefault="00753C80" w:rsidP="00753C80">
      <w:pPr>
        <w:pStyle w:val="NormalWeb"/>
        <w:numPr>
          <w:ilvl w:val="0"/>
          <w:numId w:val="5"/>
        </w:numPr>
        <w:jc w:val="both"/>
      </w:pPr>
      <w:r w:rsidRPr="00753C80">
        <w:t>Key variables:</w:t>
      </w:r>
    </w:p>
    <w:p w:rsidR="00753C80" w:rsidRPr="00753C80" w:rsidRDefault="00753C80" w:rsidP="00753C80">
      <w:pPr>
        <w:pStyle w:val="NormalWeb"/>
        <w:numPr>
          <w:ilvl w:val="1"/>
          <w:numId w:val="5"/>
        </w:numPr>
        <w:jc w:val="both"/>
      </w:pPr>
      <w:r w:rsidRPr="00753C80">
        <w:t>Glucose (mg/dL) – continuous</w:t>
      </w:r>
    </w:p>
    <w:p w:rsidR="00753C80" w:rsidRPr="00753C80" w:rsidRDefault="00753C80" w:rsidP="00753C80">
      <w:pPr>
        <w:pStyle w:val="NormalWeb"/>
        <w:numPr>
          <w:ilvl w:val="1"/>
          <w:numId w:val="5"/>
        </w:numPr>
        <w:jc w:val="both"/>
      </w:pPr>
      <w:r w:rsidRPr="00753C80">
        <w:t>BMI – continuous</w:t>
      </w:r>
    </w:p>
    <w:p w:rsidR="00753C80" w:rsidRPr="00753C80" w:rsidRDefault="00753C80" w:rsidP="00753C80">
      <w:pPr>
        <w:pStyle w:val="NormalWeb"/>
        <w:numPr>
          <w:ilvl w:val="1"/>
          <w:numId w:val="5"/>
        </w:numPr>
        <w:jc w:val="both"/>
      </w:pPr>
      <w:r w:rsidRPr="00753C80">
        <w:t>Insulin (µU/mL) – continuous</w:t>
      </w:r>
    </w:p>
    <w:p w:rsidR="00753C80" w:rsidRPr="00753C80" w:rsidRDefault="00753C80" w:rsidP="00753C80">
      <w:pPr>
        <w:pStyle w:val="NormalWeb"/>
        <w:numPr>
          <w:ilvl w:val="1"/>
          <w:numId w:val="5"/>
        </w:numPr>
        <w:jc w:val="both"/>
      </w:pPr>
      <w:r w:rsidRPr="00753C80">
        <w:t>Classification: 1 = Healthy, 2 = Cancer</w:t>
      </w:r>
    </w:p>
    <w:p w:rsidR="00753C80" w:rsidRPr="00753C80" w:rsidRDefault="00753C80" w:rsidP="00753C80">
      <w:pPr>
        <w:pStyle w:val="NormalWeb"/>
        <w:numPr>
          <w:ilvl w:val="1"/>
          <w:numId w:val="5"/>
        </w:numPr>
        <w:jc w:val="both"/>
      </w:pPr>
      <w:r w:rsidRPr="00753C80">
        <w:t>Age – continuous</w:t>
      </w:r>
    </w:p>
    <w:p w:rsidR="00753C80" w:rsidRPr="00753C80" w:rsidRDefault="00753C80" w:rsidP="00753C80">
      <w:pPr>
        <w:pStyle w:val="NormalWeb"/>
        <w:jc w:val="both"/>
      </w:pPr>
      <w:r w:rsidRPr="00753C80">
        <w:rPr>
          <w:rStyle w:val="Strong"/>
          <w:rFonts w:eastAsiaTheme="majorEastAsia"/>
        </w:rPr>
        <w:t>Hypotheses:</w:t>
      </w:r>
    </w:p>
    <w:p w:rsidR="00753C80" w:rsidRPr="00753C80" w:rsidRDefault="00753C80" w:rsidP="00753C80">
      <w:pPr>
        <w:pStyle w:val="NormalWeb"/>
        <w:numPr>
          <w:ilvl w:val="0"/>
          <w:numId w:val="6"/>
        </w:numPr>
        <w:jc w:val="both"/>
      </w:pPr>
      <w:r w:rsidRPr="00753C80">
        <w:rPr>
          <w:rStyle w:val="Strong"/>
          <w:rFonts w:eastAsiaTheme="majorEastAsia"/>
        </w:rPr>
        <w:t>One-sample t-test (Glucose):</w:t>
      </w:r>
    </w:p>
    <w:p w:rsidR="00753C80" w:rsidRPr="00753C80" w:rsidRDefault="00753C80" w:rsidP="00753C80">
      <w:pPr>
        <w:pStyle w:val="NormalWeb"/>
        <w:numPr>
          <w:ilvl w:val="1"/>
          <w:numId w:val="6"/>
        </w:numPr>
        <w:jc w:val="both"/>
      </w:pPr>
      <w:r w:rsidRPr="00753C80">
        <w:t>H₀: Mean glucose = 100 mg/dL (reference value)</w:t>
      </w:r>
    </w:p>
    <w:p w:rsidR="00753C80" w:rsidRPr="00753C80" w:rsidRDefault="00753C80" w:rsidP="00753C80">
      <w:pPr>
        <w:pStyle w:val="NormalWeb"/>
        <w:numPr>
          <w:ilvl w:val="1"/>
          <w:numId w:val="6"/>
        </w:numPr>
        <w:jc w:val="both"/>
      </w:pPr>
      <w:r w:rsidRPr="00753C80">
        <w:t>H₁: Mean glucose ≠ 100 mg/dL</w:t>
      </w:r>
    </w:p>
    <w:p w:rsidR="00753C80" w:rsidRPr="00753C80" w:rsidRDefault="00753C80" w:rsidP="00753C80">
      <w:pPr>
        <w:pStyle w:val="NormalWeb"/>
        <w:numPr>
          <w:ilvl w:val="0"/>
          <w:numId w:val="6"/>
        </w:numPr>
        <w:jc w:val="both"/>
      </w:pPr>
      <w:r w:rsidRPr="00753C80">
        <w:rPr>
          <w:rStyle w:val="Strong"/>
          <w:rFonts w:eastAsiaTheme="majorEastAsia"/>
        </w:rPr>
        <w:t>Two-sample t-test (BMI by Classification):</w:t>
      </w:r>
    </w:p>
    <w:p w:rsidR="00753C80" w:rsidRPr="00753C80" w:rsidRDefault="00753C80" w:rsidP="00753C80">
      <w:pPr>
        <w:pStyle w:val="NormalWeb"/>
        <w:numPr>
          <w:ilvl w:val="1"/>
          <w:numId w:val="6"/>
        </w:numPr>
        <w:jc w:val="both"/>
      </w:pPr>
      <w:r w:rsidRPr="00753C80">
        <w:t>H₀: Mean BMI (Healthy) = Mean BMI (Cancer)</w:t>
      </w:r>
    </w:p>
    <w:p w:rsidR="00753C80" w:rsidRPr="00753C80" w:rsidRDefault="00753C80" w:rsidP="00753C80">
      <w:pPr>
        <w:pStyle w:val="NormalWeb"/>
        <w:numPr>
          <w:ilvl w:val="1"/>
          <w:numId w:val="6"/>
        </w:numPr>
        <w:jc w:val="both"/>
      </w:pPr>
      <w:r w:rsidRPr="00753C80">
        <w:t>H₁: Mean BMI differs between groups</w:t>
      </w:r>
    </w:p>
    <w:p w:rsidR="00753C80" w:rsidRPr="00753C80" w:rsidRDefault="00753C80" w:rsidP="00753C80">
      <w:pPr>
        <w:pStyle w:val="NormalWeb"/>
        <w:numPr>
          <w:ilvl w:val="0"/>
          <w:numId w:val="6"/>
        </w:numPr>
        <w:jc w:val="both"/>
      </w:pPr>
      <w:r w:rsidRPr="00753C80">
        <w:rPr>
          <w:rStyle w:val="Strong"/>
          <w:rFonts w:eastAsiaTheme="majorEastAsia"/>
        </w:rPr>
        <w:t xml:space="preserve">One-way ANOVA (Insulin by </w:t>
      </w:r>
      <w:proofErr w:type="spellStart"/>
      <w:r w:rsidRPr="00753C80">
        <w:rPr>
          <w:rStyle w:val="Strong"/>
          <w:rFonts w:eastAsiaTheme="majorEastAsia"/>
        </w:rPr>
        <w:t>AgeGroup</w:t>
      </w:r>
      <w:proofErr w:type="spellEnd"/>
      <w:r w:rsidRPr="00753C80">
        <w:rPr>
          <w:rStyle w:val="Strong"/>
          <w:rFonts w:eastAsiaTheme="majorEastAsia"/>
        </w:rPr>
        <w:t>):</w:t>
      </w:r>
    </w:p>
    <w:p w:rsidR="00753C80" w:rsidRPr="00753C80" w:rsidRDefault="00753C80" w:rsidP="00753C80">
      <w:pPr>
        <w:pStyle w:val="NormalWeb"/>
        <w:numPr>
          <w:ilvl w:val="1"/>
          <w:numId w:val="6"/>
        </w:numPr>
        <w:jc w:val="both"/>
      </w:pPr>
      <w:r w:rsidRPr="00753C80">
        <w:t>H₀: Mean insulin is equal across age groups (20–40, 41–60, 61–80)</w:t>
      </w:r>
    </w:p>
    <w:p w:rsidR="00753C80" w:rsidRPr="00753C80" w:rsidRDefault="00753C80" w:rsidP="00753C80">
      <w:pPr>
        <w:pStyle w:val="NormalWeb"/>
        <w:numPr>
          <w:ilvl w:val="1"/>
          <w:numId w:val="6"/>
        </w:numPr>
        <w:jc w:val="both"/>
      </w:pPr>
      <w:r w:rsidRPr="00753C80">
        <w:t>H₁: At least one age group has a different mean insulin</w:t>
      </w:r>
    </w:p>
    <w:p w:rsidR="00893824" w:rsidRDefault="00893824" w:rsidP="00893824">
      <w:pPr>
        <w:pStyle w:val="NormalWeb"/>
      </w:pPr>
      <w:r>
        <w:rPr>
          <w:rStyle w:val="Strong"/>
          <w:rFonts w:eastAsiaTheme="majorEastAsia"/>
        </w:rPr>
        <w:t>Methods:</w:t>
      </w:r>
    </w:p>
    <w:p w:rsidR="00893824" w:rsidRPr="00893824" w:rsidRDefault="00893824" w:rsidP="00893824">
      <w:pPr>
        <w:pStyle w:val="NormalWeb"/>
        <w:numPr>
          <w:ilvl w:val="0"/>
          <w:numId w:val="14"/>
        </w:numPr>
      </w:pPr>
      <w:r w:rsidRPr="00893824">
        <w:rPr>
          <w:rStyle w:val="Strong"/>
          <w:rFonts w:eastAsiaTheme="majorEastAsia"/>
        </w:rPr>
        <w:t>One-Sample t-test:</w:t>
      </w:r>
      <w:r w:rsidRPr="00893824">
        <w:t xml:space="preserve"> Compared mean glucose against reference value of 100 mg/dL.</w:t>
      </w:r>
    </w:p>
    <w:p w:rsidR="00893824" w:rsidRPr="00893824" w:rsidRDefault="00893824" w:rsidP="00893824">
      <w:pPr>
        <w:pStyle w:val="NormalWeb"/>
        <w:numPr>
          <w:ilvl w:val="0"/>
          <w:numId w:val="14"/>
        </w:numPr>
      </w:pPr>
      <w:r w:rsidRPr="00893824">
        <w:rPr>
          <w:rStyle w:val="Strong"/>
          <w:rFonts w:eastAsiaTheme="majorEastAsia"/>
        </w:rPr>
        <w:t>Two-Sample t-test:</w:t>
      </w:r>
      <w:r w:rsidRPr="00893824">
        <w:t xml:space="preserve"> Compared BMI between healthy and cancer patients (unequal variance, Welch’s t-test).</w:t>
      </w:r>
    </w:p>
    <w:p w:rsidR="00893824" w:rsidRPr="00893824" w:rsidRDefault="00893824" w:rsidP="00893824">
      <w:pPr>
        <w:pStyle w:val="NormalWeb"/>
        <w:numPr>
          <w:ilvl w:val="0"/>
          <w:numId w:val="14"/>
        </w:numPr>
      </w:pPr>
      <w:r w:rsidRPr="00893824">
        <w:rPr>
          <w:rStyle w:val="Strong"/>
          <w:rFonts w:eastAsiaTheme="majorEastAsia"/>
        </w:rPr>
        <w:t>One-Way ANOVA:</w:t>
      </w:r>
      <w:r w:rsidRPr="00893824">
        <w:t xml:space="preserve"> Compared insulin levels across three age groups (20–40, 41–60, 61–80).</w:t>
      </w:r>
    </w:p>
    <w:p w:rsidR="00893824" w:rsidRPr="00893824" w:rsidRDefault="00893824" w:rsidP="00893824">
      <w:pPr>
        <w:pStyle w:val="NormalWeb"/>
        <w:numPr>
          <w:ilvl w:val="0"/>
          <w:numId w:val="14"/>
        </w:numPr>
      </w:pPr>
      <w:r w:rsidRPr="00893824">
        <w:rPr>
          <w:rStyle w:val="Strong"/>
          <w:rFonts w:eastAsiaTheme="majorEastAsia"/>
        </w:rPr>
        <w:t>Assumptions Checked:</w:t>
      </w:r>
    </w:p>
    <w:p w:rsidR="00893824" w:rsidRPr="00893824" w:rsidRDefault="00893824" w:rsidP="00893824">
      <w:pPr>
        <w:pStyle w:val="NormalWeb"/>
        <w:numPr>
          <w:ilvl w:val="1"/>
          <w:numId w:val="14"/>
        </w:numPr>
      </w:pPr>
      <w:r w:rsidRPr="00893824">
        <w:rPr>
          <w:rStyle w:val="Strong"/>
          <w:rFonts w:eastAsiaTheme="majorEastAsia"/>
        </w:rPr>
        <w:t>Normality:</w:t>
      </w:r>
      <w:r w:rsidRPr="00893824">
        <w:t xml:space="preserve"> Shapiro-Wilk test</w:t>
      </w:r>
    </w:p>
    <w:p w:rsidR="00893824" w:rsidRPr="00893824" w:rsidRDefault="00893824" w:rsidP="00893824">
      <w:pPr>
        <w:pStyle w:val="NormalWeb"/>
        <w:numPr>
          <w:ilvl w:val="1"/>
          <w:numId w:val="14"/>
        </w:numPr>
      </w:pPr>
      <w:r w:rsidRPr="00893824">
        <w:rPr>
          <w:rStyle w:val="Strong"/>
          <w:rFonts w:eastAsiaTheme="majorEastAsia"/>
        </w:rPr>
        <w:t>Homogeneity of variance:</w:t>
      </w:r>
      <w:r w:rsidRPr="00893824">
        <w:t xml:space="preserve"> Levene’s test</w:t>
      </w:r>
    </w:p>
    <w:p w:rsidR="00893824" w:rsidRPr="00893824" w:rsidRDefault="00893824" w:rsidP="00893824">
      <w:pPr>
        <w:pStyle w:val="NormalWeb"/>
        <w:numPr>
          <w:ilvl w:val="0"/>
          <w:numId w:val="14"/>
        </w:numPr>
      </w:pPr>
      <w:r w:rsidRPr="00893824">
        <w:rPr>
          <w:rStyle w:val="Strong"/>
          <w:rFonts w:eastAsiaTheme="majorEastAsia"/>
        </w:rPr>
        <w:t>Software:</w:t>
      </w:r>
      <w:r w:rsidRPr="00893824">
        <w:t xml:space="preserve"> Python (pandas, </w:t>
      </w:r>
      <w:proofErr w:type="spellStart"/>
      <w:proofErr w:type="gramStart"/>
      <w:r w:rsidRPr="00893824">
        <w:t>scipy.stats</w:t>
      </w:r>
      <w:proofErr w:type="spellEnd"/>
      <w:proofErr w:type="gramEnd"/>
      <w:r w:rsidRPr="00893824">
        <w:t xml:space="preserve">, </w:t>
      </w:r>
      <w:proofErr w:type="spellStart"/>
      <w:r w:rsidRPr="00893824">
        <w:t>statsmodels</w:t>
      </w:r>
      <w:proofErr w:type="spellEnd"/>
      <w:r w:rsidRPr="00893824">
        <w:t>)</w:t>
      </w:r>
    </w:p>
    <w:p w:rsidR="00C52BC8" w:rsidRPr="00C52BC8" w:rsidRDefault="00C52BC8" w:rsidP="00753C80">
      <w:p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p>
    <w:p w:rsidR="00893824" w:rsidRDefault="00893824" w:rsidP="00753C80">
      <w:pPr>
        <w:spacing w:before="100" w:beforeAutospacing="1" w:after="100" w:afterAutospacing="1" w:line="240" w:lineRule="auto"/>
        <w:jc w:val="both"/>
        <w:rPr>
          <w:rFonts w:ascii="Times New Roman" w:eastAsia="Times New Roman" w:hAnsi="Times New Roman" w:cs="Times New Roman"/>
          <w:kern w:val="0"/>
          <w14:ligatures w14:val="none"/>
        </w:rPr>
      </w:pPr>
    </w:p>
    <w:p w:rsidR="00753C80" w:rsidRPr="00893824" w:rsidRDefault="00753C80" w:rsidP="00753C80">
      <w:pPr>
        <w:spacing w:before="100" w:beforeAutospacing="1" w:after="100" w:afterAutospacing="1" w:line="240" w:lineRule="auto"/>
        <w:jc w:val="both"/>
        <w:rPr>
          <w:rFonts w:ascii="Times New Roman" w:hAnsi="Times New Roman" w:cs="Times New Roman"/>
          <w:sz w:val="28"/>
          <w:szCs w:val="28"/>
        </w:rPr>
      </w:pPr>
      <w:r w:rsidRPr="00893824">
        <w:rPr>
          <w:rFonts w:ascii="Times New Roman" w:hAnsi="Times New Roman" w:cs="Times New Roman"/>
          <w:b/>
          <w:bCs/>
          <w:sz w:val="28"/>
          <w:szCs w:val="28"/>
        </w:rPr>
        <w:lastRenderedPageBreak/>
        <w:t xml:space="preserve">One-Sample </w:t>
      </w:r>
      <w:r w:rsidRPr="00893824">
        <w:rPr>
          <w:rFonts w:ascii="Times New Roman" w:hAnsi="Times New Roman" w:cs="Times New Roman"/>
          <w:b/>
          <w:bCs/>
          <w:sz w:val="28"/>
          <w:szCs w:val="28"/>
        </w:rPr>
        <w:t>T</w:t>
      </w:r>
      <w:r w:rsidRPr="00893824">
        <w:rPr>
          <w:rFonts w:ascii="Times New Roman" w:hAnsi="Times New Roman" w:cs="Times New Roman"/>
          <w:b/>
          <w:bCs/>
          <w:sz w:val="28"/>
          <w:szCs w:val="28"/>
        </w:rPr>
        <w:t>-</w:t>
      </w:r>
      <w:r w:rsidRPr="00893824">
        <w:rPr>
          <w:rFonts w:ascii="Times New Roman" w:hAnsi="Times New Roman" w:cs="Times New Roman"/>
          <w:b/>
          <w:bCs/>
          <w:sz w:val="28"/>
          <w:szCs w:val="28"/>
        </w:rPr>
        <w:t>T</w:t>
      </w:r>
      <w:r w:rsidRPr="00893824">
        <w:rPr>
          <w:rFonts w:ascii="Times New Roman" w:hAnsi="Times New Roman" w:cs="Times New Roman"/>
          <w:b/>
          <w:bCs/>
          <w:sz w:val="28"/>
          <w:szCs w:val="28"/>
        </w:rPr>
        <w:t>est</w:t>
      </w:r>
      <w:r w:rsidRPr="00893824">
        <w:rPr>
          <w:rFonts w:ascii="Times New Roman" w:hAnsi="Times New Roman" w:cs="Times New Roman"/>
          <w:sz w:val="28"/>
          <w:szCs w:val="28"/>
        </w:rPr>
        <w:t xml:space="preserve"> </w:t>
      </w:r>
    </w:p>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893824">
        <w:rPr>
          <w:rFonts w:ascii="Times New Roman" w:hAnsi="Times New Roman" w:cs="Times New Roman"/>
        </w:rPr>
        <w:t>(Glucose vs 100 mg/dL):</w:t>
      </w:r>
    </w:p>
    <w:p w:rsidR="00753C80" w:rsidRPr="00893824" w:rsidRDefault="00753C80" w:rsidP="00753C80">
      <w:pPr>
        <w:pStyle w:val="NormalWeb"/>
        <w:numPr>
          <w:ilvl w:val="0"/>
          <w:numId w:val="8"/>
        </w:numPr>
        <w:jc w:val="both"/>
      </w:pPr>
      <w:r w:rsidRPr="00893824">
        <w:t>T-statistic = 33.9668</w:t>
      </w:r>
    </w:p>
    <w:p w:rsidR="00753C80" w:rsidRPr="00893824" w:rsidRDefault="00753C80" w:rsidP="00753C80">
      <w:pPr>
        <w:pStyle w:val="NormalWeb"/>
        <w:numPr>
          <w:ilvl w:val="0"/>
          <w:numId w:val="8"/>
        </w:numPr>
        <w:jc w:val="both"/>
      </w:pPr>
      <w:r w:rsidRPr="00893824">
        <w:t>p-value = 0.0000</w:t>
      </w:r>
    </w:p>
    <w:p w:rsidR="00893824" w:rsidRDefault="00753C80" w:rsidP="00753C80">
      <w:pPr>
        <w:pStyle w:val="NormalWeb"/>
        <w:jc w:val="both"/>
      </w:pPr>
      <w:r w:rsidRPr="00893824">
        <w:rPr>
          <w:rStyle w:val="Strong"/>
          <w:rFonts w:eastAsiaTheme="majorEastAsia"/>
        </w:rPr>
        <w:t>Interpretation:</w:t>
      </w:r>
      <w:r w:rsidRPr="00893824">
        <w:t xml:space="preserve"> Glucose levels are significantly higher than 100 mg/dL.</w:t>
      </w:r>
    </w:p>
    <w:p w:rsidR="00753C80" w:rsidRPr="00893824" w:rsidRDefault="00DD0F3C" w:rsidP="00753C80">
      <w:pPr>
        <w:pStyle w:val="NormalWeb"/>
        <w:jc w:val="both"/>
      </w:pPr>
      <w:r>
        <w:rPr>
          <w:noProof/>
          <w14:ligatures w14:val="standardContextual"/>
        </w:rPr>
        <w:drawing>
          <wp:inline distT="0" distB="0" distL="0" distR="0">
            <wp:extent cx="5483588" cy="2328034"/>
            <wp:effectExtent l="0" t="0" r="3175" b="0"/>
            <wp:docPr id="347067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67264" name="Picture 347067264"/>
                    <pic:cNvPicPr/>
                  </pic:nvPicPr>
                  <pic:blipFill>
                    <a:blip r:embed="rId6">
                      <a:extLst>
                        <a:ext uri="{28A0092B-C50C-407E-A947-70E740481C1C}">
                          <a14:useLocalDpi xmlns:a14="http://schemas.microsoft.com/office/drawing/2010/main" val="0"/>
                        </a:ext>
                      </a:extLst>
                    </a:blip>
                    <a:stretch>
                      <a:fillRect/>
                    </a:stretch>
                  </pic:blipFill>
                  <pic:spPr>
                    <a:xfrm>
                      <a:off x="0" y="0"/>
                      <a:ext cx="6038404" cy="2563579"/>
                    </a:xfrm>
                    <a:prstGeom prst="rect">
                      <a:avLst/>
                    </a:prstGeom>
                  </pic:spPr>
                </pic:pic>
              </a:graphicData>
            </a:graphic>
          </wp:inline>
        </w:drawing>
      </w:r>
    </w:p>
    <w:p w:rsidR="00753C80" w:rsidRPr="00893824" w:rsidRDefault="00753C80" w:rsidP="00753C80">
      <w:pPr>
        <w:pStyle w:val="NormalWeb"/>
        <w:jc w:val="both"/>
        <w:rPr>
          <w:rStyle w:val="Strong"/>
          <w:rFonts w:eastAsiaTheme="majorEastAsia"/>
          <w:sz w:val="28"/>
          <w:szCs w:val="28"/>
        </w:rPr>
      </w:pPr>
      <w:r w:rsidRPr="00893824">
        <w:rPr>
          <w:rStyle w:val="Strong"/>
          <w:rFonts w:eastAsiaTheme="majorEastAsia"/>
          <w:sz w:val="28"/>
          <w:szCs w:val="28"/>
        </w:rPr>
        <w:t xml:space="preserve">Two-Sample </w:t>
      </w:r>
      <w:r w:rsidRPr="00893824">
        <w:rPr>
          <w:rStyle w:val="Strong"/>
          <w:rFonts w:eastAsiaTheme="majorEastAsia"/>
          <w:sz w:val="28"/>
          <w:szCs w:val="28"/>
        </w:rPr>
        <w:t>T</w:t>
      </w:r>
      <w:r w:rsidRPr="00893824">
        <w:rPr>
          <w:rStyle w:val="Strong"/>
          <w:rFonts w:eastAsiaTheme="majorEastAsia"/>
          <w:sz w:val="28"/>
          <w:szCs w:val="28"/>
        </w:rPr>
        <w:t>-</w:t>
      </w:r>
      <w:r w:rsidRPr="00893824">
        <w:rPr>
          <w:rStyle w:val="Strong"/>
          <w:rFonts w:eastAsiaTheme="majorEastAsia"/>
          <w:sz w:val="28"/>
          <w:szCs w:val="28"/>
        </w:rPr>
        <w:t>T</w:t>
      </w:r>
      <w:r w:rsidRPr="00893824">
        <w:rPr>
          <w:rStyle w:val="Strong"/>
          <w:rFonts w:eastAsiaTheme="majorEastAsia"/>
          <w:sz w:val="28"/>
          <w:szCs w:val="28"/>
        </w:rPr>
        <w:t xml:space="preserve">est </w:t>
      </w:r>
    </w:p>
    <w:p w:rsidR="00753C80" w:rsidRPr="00893824" w:rsidRDefault="00753C80" w:rsidP="00753C80">
      <w:pPr>
        <w:pStyle w:val="NormalWeb"/>
        <w:jc w:val="both"/>
      </w:pPr>
      <w:r w:rsidRPr="00893824">
        <w:rPr>
          <w:rStyle w:val="Strong"/>
          <w:rFonts w:eastAsiaTheme="majorEastAsia"/>
        </w:rPr>
        <w:t>(BMI: Cancer vs Healthy):</w:t>
      </w:r>
    </w:p>
    <w:p w:rsidR="00753C80" w:rsidRPr="00893824" w:rsidRDefault="00753C80" w:rsidP="00753C80">
      <w:pPr>
        <w:pStyle w:val="NormalWeb"/>
        <w:numPr>
          <w:ilvl w:val="0"/>
          <w:numId w:val="8"/>
        </w:numPr>
        <w:jc w:val="both"/>
      </w:pPr>
      <w:r w:rsidRPr="00893824">
        <w:t>T-statistic = -0.5900</w:t>
      </w:r>
    </w:p>
    <w:p w:rsidR="00753C80" w:rsidRPr="00893824" w:rsidRDefault="00753C80" w:rsidP="00753C80">
      <w:pPr>
        <w:pStyle w:val="NormalWeb"/>
        <w:numPr>
          <w:ilvl w:val="0"/>
          <w:numId w:val="8"/>
        </w:numPr>
        <w:jc w:val="both"/>
      </w:pPr>
      <w:r w:rsidRPr="00893824">
        <w:t>p-value = 0.5552</w:t>
      </w:r>
    </w:p>
    <w:p w:rsidR="00753C80" w:rsidRPr="00893824" w:rsidRDefault="00753C80" w:rsidP="00753C80">
      <w:pPr>
        <w:pStyle w:val="NormalWeb"/>
        <w:jc w:val="both"/>
      </w:pPr>
      <w:r w:rsidRPr="00893824">
        <w:rPr>
          <w:rStyle w:val="Strong"/>
          <w:rFonts w:eastAsiaTheme="majorEastAsia"/>
        </w:rPr>
        <w:t>Interpretation:</w:t>
      </w:r>
      <w:r w:rsidRPr="00893824">
        <w:t xml:space="preserve"> No significant difference in BMI between healthy and cancer patients.</w:t>
      </w:r>
    </w:p>
    <w:p w:rsidR="00DD0F3C" w:rsidRDefault="00DD0F3C" w:rsidP="00753C80">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extent cx="5177642" cy="2329180"/>
            <wp:effectExtent l="0" t="0" r="4445" b="0"/>
            <wp:docPr id="499663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63105" name="Picture 499663105"/>
                    <pic:cNvPicPr/>
                  </pic:nvPicPr>
                  <pic:blipFill>
                    <a:blip r:embed="rId7">
                      <a:extLst>
                        <a:ext uri="{28A0092B-C50C-407E-A947-70E740481C1C}">
                          <a14:useLocalDpi xmlns:a14="http://schemas.microsoft.com/office/drawing/2010/main" val="0"/>
                        </a:ext>
                      </a:extLst>
                    </a:blip>
                    <a:stretch>
                      <a:fillRect/>
                    </a:stretch>
                  </pic:blipFill>
                  <pic:spPr>
                    <a:xfrm>
                      <a:off x="0" y="0"/>
                      <a:ext cx="5226463" cy="2351142"/>
                    </a:xfrm>
                    <a:prstGeom prst="rect">
                      <a:avLst/>
                    </a:prstGeom>
                  </pic:spPr>
                </pic:pic>
              </a:graphicData>
            </a:graphic>
          </wp:inline>
        </w:drawing>
      </w:r>
    </w:p>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b/>
          <w:bCs/>
          <w:kern w:val="0"/>
          <w14:ligatures w14:val="none"/>
        </w:rPr>
        <w:lastRenderedPageBreak/>
        <w:t>Assumption Checks: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3"/>
        <w:gridCol w:w="1147"/>
        <w:gridCol w:w="1461"/>
        <w:gridCol w:w="909"/>
      </w:tblGrid>
      <w:tr w:rsidR="00753C80" w:rsidRPr="00893824" w:rsidTr="00DD0F3C">
        <w:trPr>
          <w:trHeight w:val="109"/>
          <w:tblHeader/>
          <w:tblCellSpacing w:w="15" w:type="dxa"/>
        </w:trPr>
        <w:tc>
          <w:tcPr>
            <w:tcW w:w="3818"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Test</w:t>
            </w:r>
          </w:p>
        </w:tc>
        <w:tc>
          <w:tcPr>
            <w:tcW w:w="1117"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Statistic</w:t>
            </w:r>
          </w:p>
        </w:tc>
        <w:tc>
          <w:tcPr>
            <w:tcW w:w="1431"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p-value</w:t>
            </w:r>
          </w:p>
        </w:tc>
        <w:tc>
          <w:tcPr>
            <w:tcW w:w="864"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Result</w:t>
            </w:r>
          </w:p>
        </w:tc>
      </w:tr>
      <w:tr w:rsidR="00753C80" w:rsidRPr="00893824" w:rsidTr="00DD0F3C">
        <w:trPr>
          <w:trHeight w:val="203"/>
          <w:tblCellSpacing w:w="15" w:type="dxa"/>
        </w:trPr>
        <w:tc>
          <w:tcPr>
            <w:tcW w:w="3818"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Glucose Shapiro-Wilk</w:t>
            </w:r>
          </w:p>
        </w:tc>
        <w:tc>
          <w:tcPr>
            <w:tcW w:w="1117"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0.7186</w:t>
            </w:r>
          </w:p>
        </w:tc>
        <w:tc>
          <w:tcPr>
            <w:tcW w:w="1431"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0.0000</w:t>
            </w:r>
          </w:p>
        </w:tc>
        <w:tc>
          <w:tcPr>
            <w:tcW w:w="864"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Not normal</w:t>
            </w:r>
          </w:p>
        </w:tc>
      </w:tr>
      <w:tr w:rsidR="00753C80" w:rsidRPr="00893824" w:rsidTr="00DD0F3C">
        <w:trPr>
          <w:trHeight w:val="210"/>
          <w:tblCellSpacing w:w="15" w:type="dxa"/>
        </w:trPr>
        <w:tc>
          <w:tcPr>
            <w:tcW w:w="3818"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BMI Healthy Shapiro-Wilk</w:t>
            </w:r>
          </w:p>
        </w:tc>
        <w:tc>
          <w:tcPr>
            <w:tcW w:w="1117"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0.9516</w:t>
            </w:r>
          </w:p>
        </w:tc>
        <w:tc>
          <w:tcPr>
            <w:tcW w:w="1431"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0.0000</w:t>
            </w:r>
          </w:p>
        </w:tc>
        <w:tc>
          <w:tcPr>
            <w:tcW w:w="864"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Not normal</w:t>
            </w:r>
          </w:p>
        </w:tc>
      </w:tr>
      <w:tr w:rsidR="00753C80" w:rsidRPr="00893824" w:rsidTr="00DD0F3C">
        <w:trPr>
          <w:trHeight w:val="210"/>
          <w:tblCellSpacing w:w="15" w:type="dxa"/>
        </w:trPr>
        <w:tc>
          <w:tcPr>
            <w:tcW w:w="3818"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BMI Cancer Shapiro-Wilk</w:t>
            </w:r>
          </w:p>
        </w:tc>
        <w:tc>
          <w:tcPr>
            <w:tcW w:w="1117"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0.9538</w:t>
            </w:r>
          </w:p>
        </w:tc>
        <w:tc>
          <w:tcPr>
            <w:tcW w:w="1431"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0.0000</w:t>
            </w:r>
          </w:p>
        </w:tc>
        <w:tc>
          <w:tcPr>
            <w:tcW w:w="864"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Not normal</w:t>
            </w:r>
          </w:p>
        </w:tc>
      </w:tr>
      <w:tr w:rsidR="00753C80" w:rsidRPr="00893824" w:rsidTr="00DD0F3C">
        <w:trPr>
          <w:trHeight w:val="210"/>
          <w:tblCellSpacing w:w="15" w:type="dxa"/>
        </w:trPr>
        <w:tc>
          <w:tcPr>
            <w:tcW w:w="3818"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Levene Test BMI</w:t>
            </w:r>
          </w:p>
        </w:tc>
        <w:tc>
          <w:tcPr>
            <w:tcW w:w="1117"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0.5160</w:t>
            </w:r>
          </w:p>
        </w:tc>
        <w:tc>
          <w:tcPr>
            <w:tcW w:w="1431"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0.4726</w:t>
            </w:r>
          </w:p>
        </w:tc>
        <w:tc>
          <w:tcPr>
            <w:tcW w:w="864" w:type="dxa"/>
            <w:vAlign w:val="center"/>
            <w:hideMark/>
          </w:tcPr>
          <w:p w:rsidR="00753C80" w:rsidRPr="00753C80"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Equal variance</w:t>
            </w:r>
          </w:p>
        </w:tc>
      </w:tr>
      <w:tr w:rsidR="00753C80" w:rsidRPr="00893824" w:rsidTr="00DD0F3C">
        <w:trPr>
          <w:trHeight w:val="210"/>
          <w:tblCellSpacing w:w="15" w:type="dxa"/>
        </w:trPr>
        <w:tc>
          <w:tcPr>
            <w:tcW w:w="3818"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1117"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1431"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864"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r>
      <w:tr w:rsidR="00753C80" w:rsidRPr="00893824" w:rsidTr="00DD0F3C">
        <w:trPr>
          <w:trHeight w:val="312"/>
          <w:tblCellSpacing w:w="15" w:type="dxa"/>
        </w:trPr>
        <w:tc>
          <w:tcPr>
            <w:tcW w:w="3818"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1117"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1431"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864"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r>
      <w:tr w:rsidR="00753C80" w:rsidRPr="00893824" w:rsidTr="00DD0F3C">
        <w:trPr>
          <w:trHeight w:val="326"/>
          <w:tblCellSpacing w:w="15" w:type="dxa"/>
        </w:trPr>
        <w:tc>
          <w:tcPr>
            <w:tcW w:w="3818"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1117"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1431"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c>
          <w:tcPr>
            <w:tcW w:w="864" w:type="dxa"/>
            <w:vAlign w:val="center"/>
          </w:tcPr>
          <w:p w:rsidR="00753C80" w:rsidRPr="00893824" w:rsidRDefault="00753C80" w:rsidP="00753C80">
            <w:pPr>
              <w:spacing w:before="100" w:beforeAutospacing="1" w:after="100" w:afterAutospacing="1" w:line="240" w:lineRule="auto"/>
              <w:jc w:val="both"/>
              <w:rPr>
                <w:rFonts w:ascii="Times New Roman" w:eastAsia="Times New Roman" w:hAnsi="Times New Roman" w:cs="Times New Roman"/>
                <w:kern w:val="0"/>
                <w14:ligatures w14:val="none"/>
              </w:rPr>
            </w:pPr>
          </w:p>
        </w:tc>
      </w:tr>
    </w:tbl>
    <w:p w:rsidR="00893824" w:rsidRPr="00893824" w:rsidRDefault="00753C80" w:rsidP="00893824">
      <w:pPr>
        <w:spacing w:before="100" w:beforeAutospacing="1" w:after="100" w:afterAutospacing="1" w:line="240" w:lineRule="auto"/>
        <w:jc w:val="both"/>
        <w:rPr>
          <w:rFonts w:ascii="Times New Roman" w:hAnsi="Times New Roman" w:cs="Times New Roman"/>
        </w:rPr>
      </w:pPr>
      <w:r w:rsidRPr="00893824">
        <w:rPr>
          <w:rStyle w:val="Strong"/>
          <w:rFonts w:ascii="Times New Roman" w:hAnsi="Times New Roman" w:cs="Times New Roman"/>
        </w:rPr>
        <w:t>Note:</w:t>
      </w:r>
      <w:r w:rsidRPr="00893824">
        <w:rPr>
          <w:rFonts w:ascii="Times New Roman" w:hAnsi="Times New Roman" w:cs="Times New Roman"/>
        </w:rPr>
        <w:t xml:space="preserve"> Normality violated; homogeneity of variance satisfied.</w:t>
      </w:r>
    </w:p>
    <w:p w:rsidR="00893824" w:rsidRDefault="00893824"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DD0F3C" w:rsidRDefault="00DD0F3C" w:rsidP="00893824">
      <w:pPr>
        <w:spacing w:before="100" w:beforeAutospacing="1" w:after="100" w:afterAutospacing="1" w:line="240" w:lineRule="auto"/>
        <w:jc w:val="both"/>
        <w:rPr>
          <w:rFonts w:ascii="Times New Roman" w:hAnsi="Times New Roman" w:cs="Times New Roman"/>
          <w:b/>
          <w:bCs/>
          <w:sz w:val="28"/>
          <w:szCs w:val="28"/>
        </w:rPr>
      </w:pPr>
    </w:p>
    <w:p w:rsidR="00893824" w:rsidRPr="00893824" w:rsidRDefault="00753C80" w:rsidP="00893824">
      <w:pPr>
        <w:spacing w:before="100" w:beforeAutospacing="1" w:after="100" w:afterAutospacing="1" w:line="240" w:lineRule="auto"/>
        <w:jc w:val="both"/>
        <w:rPr>
          <w:rFonts w:ascii="Times New Roman" w:hAnsi="Times New Roman" w:cs="Times New Roman"/>
          <w:b/>
          <w:bCs/>
          <w:sz w:val="28"/>
          <w:szCs w:val="28"/>
        </w:rPr>
      </w:pPr>
      <w:r w:rsidRPr="00893824">
        <w:rPr>
          <w:rFonts w:ascii="Times New Roman" w:hAnsi="Times New Roman" w:cs="Times New Roman"/>
          <w:b/>
          <w:bCs/>
          <w:sz w:val="28"/>
          <w:szCs w:val="28"/>
        </w:rPr>
        <w:lastRenderedPageBreak/>
        <w:t xml:space="preserve">One-Way ANOVA </w:t>
      </w:r>
    </w:p>
    <w:p w:rsidR="00753C80" w:rsidRDefault="00753C80" w:rsidP="00893824">
      <w:pPr>
        <w:spacing w:before="100" w:beforeAutospacing="1" w:after="100" w:afterAutospacing="1" w:line="240" w:lineRule="auto"/>
        <w:jc w:val="both"/>
        <w:rPr>
          <w:rFonts w:ascii="Times New Roman" w:hAnsi="Times New Roman" w:cs="Times New Roman"/>
        </w:rPr>
      </w:pPr>
      <w:r w:rsidRPr="00893824">
        <w:rPr>
          <w:rFonts w:ascii="Times New Roman" w:hAnsi="Times New Roman" w:cs="Times New Roman"/>
        </w:rPr>
        <w:t xml:space="preserve">Insulin ~ </w:t>
      </w:r>
      <w:proofErr w:type="spellStart"/>
      <w:r w:rsidRPr="00893824">
        <w:rPr>
          <w:rFonts w:ascii="Times New Roman" w:hAnsi="Times New Roman" w:cs="Times New Roman"/>
        </w:rPr>
        <w:t>AgeGroup</w:t>
      </w:r>
      <w:proofErr w:type="spellEnd"/>
    </w:p>
    <w:p w:rsidR="00893824" w:rsidRDefault="00893824" w:rsidP="00893824">
      <w:pPr>
        <w:pStyle w:val="NormalWeb"/>
      </w:pPr>
      <w:r>
        <w:rPr>
          <w:rStyle w:val="Strong"/>
          <w:rFonts w:eastAsiaTheme="majorEastAsia"/>
        </w:rPr>
        <w:t>Age Group Creation for ANOVA:</w:t>
      </w:r>
    </w:p>
    <w:p w:rsidR="00893824" w:rsidRDefault="00893824" w:rsidP="00893824">
      <w:pPr>
        <w:pStyle w:val="NormalWeb"/>
        <w:numPr>
          <w:ilvl w:val="0"/>
          <w:numId w:val="15"/>
        </w:numPr>
      </w:pPr>
      <w:r>
        <w:t>20–40 years</w:t>
      </w:r>
    </w:p>
    <w:p w:rsidR="00893824" w:rsidRDefault="00893824" w:rsidP="00893824">
      <w:pPr>
        <w:pStyle w:val="NormalWeb"/>
        <w:numPr>
          <w:ilvl w:val="0"/>
          <w:numId w:val="15"/>
        </w:numPr>
      </w:pPr>
      <w:r>
        <w:t>41–60 years</w:t>
      </w:r>
    </w:p>
    <w:p w:rsidR="00893824" w:rsidRPr="00893824" w:rsidRDefault="00893824" w:rsidP="00893824">
      <w:pPr>
        <w:pStyle w:val="NormalWeb"/>
        <w:numPr>
          <w:ilvl w:val="0"/>
          <w:numId w:val="15"/>
        </w:numPr>
      </w:pPr>
      <w:r>
        <w:t>61–80 years</w:t>
      </w:r>
    </w:p>
    <w:tbl>
      <w:tblPr>
        <w:tblW w:w="7125" w:type="dxa"/>
        <w:tblCellSpacing w:w="15" w:type="dxa"/>
        <w:tblCellMar>
          <w:top w:w="15" w:type="dxa"/>
          <w:left w:w="15" w:type="dxa"/>
          <w:bottom w:w="15" w:type="dxa"/>
          <w:right w:w="15" w:type="dxa"/>
        </w:tblCellMar>
        <w:tblLook w:val="04A0" w:firstRow="1" w:lastRow="0" w:firstColumn="1" w:lastColumn="0" w:noHBand="0" w:noVBand="1"/>
      </w:tblPr>
      <w:tblGrid>
        <w:gridCol w:w="1891"/>
        <w:gridCol w:w="1529"/>
        <w:gridCol w:w="900"/>
        <w:gridCol w:w="779"/>
        <w:gridCol w:w="2026"/>
      </w:tblGrid>
      <w:tr w:rsidR="00753C80" w:rsidRPr="00753C80" w:rsidTr="00753C80">
        <w:trPr>
          <w:trHeight w:val="440"/>
          <w:tblHeader/>
          <w:tblCellSpacing w:w="15" w:type="dxa"/>
        </w:trPr>
        <w:tc>
          <w:tcPr>
            <w:tcW w:w="0" w:type="auto"/>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Source</w:t>
            </w:r>
          </w:p>
        </w:tc>
        <w:tc>
          <w:tcPr>
            <w:tcW w:w="1499"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Sum Sq</w:t>
            </w:r>
          </w:p>
        </w:tc>
        <w:tc>
          <w:tcPr>
            <w:tcW w:w="870"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753C80">
              <w:rPr>
                <w:rFonts w:ascii="Times New Roman" w:eastAsia="Times New Roman" w:hAnsi="Times New Roman" w:cs="Times New Roman"/>
                <w:b/>
                <w:bCs/>
                <w:kern w:val="0"/>
                <w14:ligatures w14:val="none"/>
              </w:rPr>
              <w:t>df</w:t>
            </w:r>
            <w:proofErr w:type="spellEnd"/>
          </w:p>
        </w:tc>
        <w:tc>
          <w:tcPr>
            <w:tcW w:w="749"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F</w:t>
            </w:r>
          </w:p>
        </w:tc>
        <w:tc>
          <w:tcPr>
            <w:tcW w:w="0" w:type="auto"/>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b/>
                <w:bCs/>
                <w:kern w:val="0"/>
                <w14:ligatures w14:val="none"/>
              </w:rPr>
            </w:pPr>
            <w:r w:rsidRPr="00753C80">
              <w:rPr>
                <w:rFonts w:ascii="Times New Roman" w:eastAsia="Times New Roman" w:hAnsi="Times New Roman" w:cs="Times New Roman"/>
                <w:b/>
                <w:bCs/>
                <w:kern w:val="0"/>
                <w14:ligatures w14:val="none"/>
              </w:rPr>
              <w:t>p-value</w:t>
            </w:r>
          </w:p>
        </w:tc>
      </w:tr>
    </w:tbl>
    <w:p w:rsidR="00753C80" w:rsidRPr="00753C80" w:rsidRDefault="00753C80" w:rsidP="00753C80">
      <w:pPr>
        <w:spacing w:before="100" w:beforeAutospacing="1" w:after="100" w:afterAutospacing="1" w:line="240" w:lineRule="auto"/>
        <w:rPr>
          <w:rFonts w:ascii="Times New Roman" w:eastAsia="Times New Roman" w:hAnsi="Times New Roman" w:cs="Times New Roman"/>
          <w:vanish/>
          <w:kern w:val="0"/>
          <w14:ligatures w14:val="none"/>
        </w:rPr>
      </w:pPr>
    </w:p>
    <w:tbl>
      <w:tblPr>
        <w:tblW w:w="6721" w:type="dxa"/>
        <w:tblCellSpacing w:w="15" w:type="dxa"/>
        <w:tblCellMar>
          <w:top w:w="15" w:type="dxa"/>
          <w:left w:w="15" w:type="dxa"/>
          <w:bottom w:w="15" w:type="dxa"/>
          <w:right w:w="15" w:type="dxa"/>
        </w:tblCellMar>
        <w:tblLook w:val="04A0" w:firstRow="1" w:lastRow="0" w:firstColumn="1" w:lastColumn="0" w:noHBand="0" w:noVBand="1"/>
      </w:tblPr>
      <w:tblGrid>
        <w:gridCol w:w="2217"/>
        <w:gridCol w:w="1216"/>
        <w:gridCol w:w="708"/>
        <w:gridCol w:w="1100"/>
        <w:gridCol w:w="1480"/>
      </w:tblGrid>
      <w:tr w:rsidR="00753C80" w:rsidRPr="00893824" w:rsidTr="00753C80">
        <w:trPr>
          <w:trHeight w:val="502"/>
          <w:tblCellSpacing w:w="15" w:type="dxa"/>
        </w:trPr>
        <w:tc>
          <w:tcPr>
            <w:tcW w:w="0" w:type="auto"/>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53C80">
              <w:rPr>
                <w:rFonts w:ascii="Times New Roman" w:eastAsia="Times New Roman" w:hAnsi="Times New Roman" w:cs="Times New Roman"/>
                <w:kern w:val="0"/>
                <w14:ligatures w14:val="none"/>
              </w:rPr>
              <w:t>AgeGroup</w:t>
            </w:r>
            <w:proofErr w:type="spellEnd"/>
          </w:p>
        </w:tc>
        <w:tc>
          <w:tcPr>
            <w:tcW w:w="0" w:type="auto"/>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29.18</w:t>
            </w:r>
          </w:p>
        </w:tc>
        <w:tc>
          <w:tcPr>
            <w:tcW w:w="678"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2</w:t>
            </w:r>
          </w:p>
        </w:tc>
        <w:tc>
          <w:tcPr>
            <w:tcW w:w="1070"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0.3543</w:t>
            </w:r>
          </w:p>
        </w:tc>
        <w:tc>
          <w:tcPr>
            <w:tcW w:w="1435"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0.7017</w:t>
            </w:r>
          </w:p>
        </w:tc>
      </w:tr>
    </w:tbl>
    <w:p w:rsidR="00753C80" w:rsidRPr="00753C80" w:rsidRDefault="00753C80" w:rsidP="00753C80">
      <w:pPr>
        <w:spacing w:before="100" w:beforeAutospacing="1" w:after="100" w:afterAutospacing="1" w:line="240" w:lineRule="auto"/>
        <w:rPr>
          <w:rFonts w:ascii="Times New Roman" w:eastAsia="Times New Roman" w:hAnsi="Times New Roman" w:cs="Times New Roman"/>
          <w:vanish/>
          <w:kern w:val="0"/>
          <w14:ligatures w14:val="none"/>
        </w:rPr>
      </w:pPr>
    </w:p>
    <w:tbl>
      <w:tblPr>
        <w:tblW w:w="5954" w:type="dxa"/>
        <w:tblCellSpacing w:w="15" w:type="dxa"/>
        <w:tblCellMar>
          <w:top w:w="15" w:type="dxa"/>
          <w:left w:w="15" w:type="dxa"/>
          <w:bottom w:w="15" w:type="dxa"/>
          <w:right w:w="15" w:type="dxa"/>
        </w:tblCellMar>
        <w:tblLook w:val="04A0" w:firstRow="1" w:lastRow="0" w:firstColumn="1" w:lastColumn="0" w:noHBand="0" w:noVBand="1"/>
      </w:tblPr>
      <w:tblGrid>
        <w:gridCol w:w="1942"/>
        <w:gridCol w:w="1657"/>
        <w:gridCol w:w="1325"/>
        <w:gridCol w:w="745"/>
        <w:gridCol w:w="285"/>
      </w:tblGrid>
      <w:tr w:rsidR="00753C80" w:rsidRPr="00893824" w:rsidTr="00DD0F3C">
        <w:trPr>
          <w:trHeight w:val="152"/>
          <w:tblCellSpacing w:w="15" w:type="dxa"/>
        </w:trPr>
        <w:tc>
          <w:tcPr>
            <w:tcW w:w="0" w:type="auto"/>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Residual</w:t>
            </w:r>
          </w:p>
        </w:tc>
        <w:tc>
          <w:tcPr>
            <w:tcW w:w="1627"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141889.13</w:t>
            </w:r>
          </w:p>
        </w:tc>
        <w:tc>
          <w:tcPr>
            <w:tcW w:w="1295"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3446</w:t>
            </w:r>
          </w:p>
        </w:tc>
        <w:tc>
          <w:tcPr>
            <w:tcW w:w="715" w:type="dxa"/>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w:t>
            </w:r>
          </w:p>
        </w:tc>
        <w:tc>
          <w:tcPr>
            <w:tcW w:w="0" w:type="auto"/>
            <w:vAlign w:val="center"/>
            <w:hideMark/>
          </w:tcPr>
          <w:p w:rsidR="00753C80" w:rsidRPr="00753C80" w:rsidRDefault="00753C80" w:rsidP="00753C80">
            <w:pPr>
              <w:spacing w:before="100" w:beforeAutospacing="1" w:after="100" w:afterAutospacing="1" w:line="240" w:lineRule="auto"/>
              <w:rPr>
                <w:rFonts w:ascii="Times New Roman" w:eastAsia="Times New Roman" w:hAnsi="Times New Roman" w:cs="Times New Roman"/>
                <w:kern w:val="0"/>
                <w14:ligatures w14:val="none"/>
              </w:rPr>
            </w:pPr>
            <w:r w:rsidRPr="00753C80">
              <w:rPr>
                <w:rFonts w:ascii="Times New Roman" w:eastAsia="Times New Roman" w:hAnsi="Times New Roman" w:cs="Times New Roman"/>
                <w:kern w:val="0"/>
                <w14:ligatures w14:val="none"/>
              </w:rPr>
              <w:t>-</w:t>
            </w:r>
          </w:p>
        </w:tc>
      </w:tr>
      <w:tr w:rsidR="00893824" w:rsidRPr="00893824" w:rsidTr="00DD0F3C">
        <w:trPr>
          <w:trHeight w:val="152"/>
          <w:tblCellSpacing w:w="15" w:type="dxa"/>
        </w:trPr>
        <w:tc>
          <w:tcPr>
            <w:tcW w:w="0" w:type="auto"/>
            <w:vAlign w:val="center"/>
          </w:tcPr>
          <w:p w:rsidR="00893824" w:rsidRPr="00753C80" w:rsidRDefault="00893824"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1627" w:type="dxa"/>
            <w:vAlign w:val="center"/>
          </w:tcPr>
          <w:p w:rsidR="00893824" w:rsidRPr="00753C80" w:rsidRDefault="00893824"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1295" w:type="dxa"/>
            <w:vAlign w:val="center"/>
          </w:tcPr>
          <w:p w:rsidR="00893824" w:rsidRPr="00753C80" w:rsidRDefault="00893824"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715" w:type="dxa"/>
            <w:vAlign w:val="center"/>
          </w:tcPr>
          <w:p w:rsidR="00893824" w:rsidRPr="00753C80" w:rsidRDefault="00893824"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tcPr>
          <w:p w:rsidR="00893824" w:rsidRPr="00753C80" w:rsidRDefault="00893824" w:rsidP="00753C80">
            <w:pPr>
              <w:spacing w:before="100" w:beforeAutospacing="1" w:after="100" w:afterAutospacing="1" w:line="240" w:lineRule="auto"/>
              <w:rPr>
                <w:rFonts w:ascii="Times New Roman" w:eastAsia="Times New Roman" w:hAnsi="Times New Roman" w:cs="Times New Roman"/>
                <w:kern w:val="0"/>
                <w14:ligatures w14:val="none"/>
              </w:rPr>
            </w:pPr>
          </w:p>
        </w:tc>
      </w:tr>
      <w:tr w:rsidR="00DD0F3C" w:rsidRPr="00893824" w:rsidTr="00DD0F3C">
        <w:trPr>
          <w:trHeight w:val="152"/>
          <w:tblCellSpacing w:w="15" w:type="dxa"/>
        </w:trPr>
        <w:tc>
          <w:tcPr>
            <w:tcW w:w="0" w:type="auto"/>
            <w:vAlign w:val="center"/>
          </w:tcPr>
          <w:p w:rsidR="00DD0F3C" w:rsidRDefault="00DD0F3C"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1627" w:type="dxa"/>
            <w:vAlign w:val="center"/>
          </w:tcPr>
          <w:p w:rsidR="00DD0F3C" w:rsidRPr="00753C80" w:rsidRDefault="00DD0F3C"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1295" w:type="dxa"/>
            <w:vAlign w:val="center"/>
          </w:tcPr>
          <w:p w:rsidR="00DD0F3C" w:rsidRPr="00753C80" w:rsidRDefault="00DD0F3C"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715" w:type="dxa"/>
            <w:vAlign w:val="center"/>
          </w:tcPr>
          <w:p w:rsidR="00DD0F3C" w:rsidRPr="00753C80" w:rsidRDefault="00DD0F3C" w:rsidP="00753C80">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tcPr>
          <w:p w:rsidR="00DD0F3C" w:rsidRPr="00753C80" w:rsidRDefault="00DD0F3C" w:rsidP="00753C80">
            <w:pPr>
              <w:spacing w:before="100" w:beforeAutospacing="1" w:after="100" w:afterAutospacing="1" w:line="240" w:lineRule="auto"/>
              <w:rPr>
                <w:rFonts w:ascii="Times New Roman" w:eastAsia="Times New Roman" w:hAnsi="Times New Roman" w:cs="Times New Roman"/>
                <w:kern w:val="0"/>
                <w14:ligatures w14:val="none"/>
              </w:rPr>
            </w:pPr>
          </w:p>
        </w:tc>
      </w:tr>
    </w:tbl>
    <w:p w:rsidR="00DD0F3C" w:rsidRDefault="00DD0F3C" w:rsidP="00893824">
      <w:pPr>
        <w:pStyle w:val="NormalWeb"/>
      </w:pPr>
      <w:r>
        <w:rPr>
          <w:noProof/>
          <w14:ligatures w14:val="standardContextual"/>
        </w:rPr>
        <w:drawing>
          <wp:inline distT="0" distB="0" distL="0" distR="0">
            <wp:extent cx="3313216" cy="2464735"/>
            <wp:effectExtent l="0" t="0" r="1905" b="0"/>
            <wp:docPr id="2030847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47048" name="Picture 20308470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265" cy="2472211"/>
                    </a:xfrm>
                    <a:prstGeom prst="rect">
                      <a:avLst/>
                    </a:prstGeom>
                  </pic:spPr>
                </pic:pic>
              </a:graphicData>
            </a:graphic>
          </wp:inline>
        </w:drawing>
      </w:r>
    </w:p>
    <w:p w:rsidR="00893824" w:rsidRDefault="00893824" w:rsidP="00893824">
      <w:pPr>
        <w:pStyle w:val="NormalWeb"/>
      </w:pPr>
      <w:r>
        <w:t xml:space="preserve">Result: </w:t>
      </w:r>
      <w:r w:rsidRPr="00893824">
        <w:rPr>
          <w:rStyle w:val="Strong"/>
          <w:rFonts w:eastAsiaTheme="majorEastAsia"/>
        </w:rPr>
        <w:t>No significant difference in insulin levels across age groups</w:t>
      </w:r>
      <w:r>
        <w:t>.</w:t>
      </w:r>
    </w:p>
    <w:p w:rsidR="00893824" w:rsidRDefault="00893824" w:rsidP="00893824">
      <w:pPr>
        <w:pStyle w:val="NormalWeb"/>
        <w:numPr>
          <w:ilvl w:val="0"/>
          <w:numId w:val="16"/>
        </w:numPr>
      </w:pPr>
      <w:r>
        <w:t xml:space="preserve">Post-hoc test (Tukey HSD) </w:t>
      </w:r>
      <w:r>
        <w:rPr>
          <w:rStyle w:val="Strong"/>
          <w:rFonts w:eastAsiaTheme="majorEastAsia"/>
        </w:rPr>
        <w:t>not required</w:t>
      </w:r>
      <w:r>
        <w:t xml:space="preserve"> due to non-significant ANOVA.</w:t>
      </w:r>
    </w:p>
    <w:p w:rsidR="00893824" w:rsidRDefault="00893824" w:rsidP="00893824">
      <w:pPr>
        <w:pStyle w:val="NormalWeb"/>
      </w:pPr>
      <w:r>
        <w:rPr>
          <w:rStyle w:val="Strong"/>
          <w:rFonts w:eastAsiaTheme="majorEastAsia"/>
        </w:rPr>
        <w:t>Interpretation:</w:t>
      </w:r>
    </w:p>
    <w:p w:rsidR="00893824" w:rsidRDefault="00893824" w:rsidP="00893824">
      <w:pPr>
        <w:pStyle w:val="NormalWeb"/>
        <w:numPr>
          <w:ilvl w:val="0"/>
          <w:numId w:val="17"/>
        </w:numPr>
      </w:pPr>
      <w:r>
        <w:t>Insulin levels are relatively consistent across different age groups in this dataset.</w:t>
      </w:r>
    </w:p>
    <w:p w:rsidR="00893824" w:rsidRDefault="00893824" w:rsidP="00893824">
      <w:pPr>
        <w:pStyle w:val="NormalWeb"/>
        <w:numPr>
          <w:ilvl w:val="0"/>
          <w:numId w:val="17"/>
        </w:numPr>
      </w:pPr>
      <w:r>
        <w:t>No age-related insulin variations were detected.</w:t>
      </w:r>
    </w:p>
    <w:p w:rsidR="00DD0F3C" w:rsidRDefault="00DD0F3C" w:rsidP="00753C80">
      <w:pPr>
        <w:pStyle w:val="NormalWeb"/>
        <w:rPr>
          <w:rStyle w:val="Strong"/>
          <w:rFonts w:eastAsiaTheme="majorEastAsia"/>
          <w:sz w:val="28"/>
          <w:szCs w:val="28"/>
        </w:rPr>
      </w:pPr>
    </w:p>
    <w:p w:rsidR="00DD0F3C" w:rsidRDefault="00DD0F3C" w:rsidP="00753C80">
      <w:pPr>
        <w:pStyle w:val="NormalWeb"/>
        <w:rPr>
          <w:rStyle w:val="Strong"/>
          <w:rFonts w:eastAsiaTheme="majorEastAsia"/>
          <w:sz w:val="28"/>
          <w:szCs w:val="28"/>
        </w:rPr>
      </w:pPr>
    </w:p>
    <w:p w:rsidR="00753C80" w:rsidRPr="00893824" w:rsidRDefault="00753C80" w:rsidP="00753C80">
      <w:pPr>
        <w:pStyle w:val="NormalWeb"/>
        <w:rPr>
          <w:sz w:val="28"/>
          <w:szCs w:val="28"/>
        </w:rPr>
      </w:pPr>
      <w:r w:rsidRPr="00893824">
        <w:rPr>
          <w:rStyle w:val="Strong"/>
          <w:rFonts w:eastAsiaTheme="majorEastAsia"/>
          <w:sz w:val="28"/>
          <w:szCs w:val="28"/>
        </w:rPr>
        <w:lastRenderedPageBreak/>
        <w:t>Discussion:</w:t>
      </w:r>
    </w:p>
    <w:p w:rsidR="00753C80" w:rsidRPr="00893824" w:rsidRDefault="00753C80" w:rsidP="00DD0F3C">
      <w:pPr>
        <w:pStyle w:val="NormalWeb"/>
        <w:ind w:left="360"/>
        <w:jc w:val="both"/>
      </w:pPr>
      <w:r w:rsidRPr="00893824">
        <w:t>Glucose levels are significantly higher than standard reference, which may indicate metabolic risk in the dataset.</w:t>
      </w:r>
      <w:r w:rsidR="00DD0F3C">
        <w:t xml:space="preserve"> </w:t>
      </w:r>
      <w:r w:rsidRPr="00893824">
        <w:t>BMI does not differ significantly between healthy and cancer patients.</w:t>
      </w:r>
    </w:p>
    <w:p w:rsidR="00753C80" w:rsidRPr="00893824" w:rsidRDefault="00753C80" w:rsidP="00DD0F3C">
      <w:pPr>
        <w:pStyle w:val="NormalWeb"/>
        <w:ind w:left="360"/>
        <w:jc w:val="both"/>
      </w:pPr>
      <w:r w:rsidRPr="00893824">
        <w:t>Insulin levels do not vary significantly across age groups.</w:t>
      </w:r>
    </w:p>
    <w:p w:rsidR="00753C80" w:rsidRPr="00893824" w:rsidRDefault="00753C80" w:rsidP="00DD0F3C">
      <w:pPr>
        <w:pStyle w:val="NormalWeb"/>
        <w:jc w:val="both"/>
        <w:rPr>
          <w:sz w:val="28"/>
          <w:szCs w:val="28"/>
        </w:rPr>
      </w:pPr>
      <w:r w:rsidRPr="00893824">
        <w:rPr>
          <w:rStyle w:val="Strong"/>
          <w:rFonts w:eastAsiaTheme="majorEastAsia"/>
          <w:sz w:val="28"/>
          <w:szCs w:val="28"/>
        </w:rPr>
        <w:t>Assumptions:</w:t>
      </w:r>
    </w:p>
    <w:p w:rsidR="00753C80" w:rsidRPr="00893824" w:rsidRDefault="00753C80" w:rsidP="00DD0F3C">
      <w:pPr>
        <w:pStyle w:val="NormalWeb"/>
        <w:ind w:left="360"/>
        <w:jc w:val="both"/>
      </w:pPr>
      <w:r w:rsidRPr="00893824">
        <w:t>Normality violated for all continuous variables → results should be interpreted cautiously.</w:t>
      </w:r>
      <w:r w:rsidR="00DD0F3C">
        <w:t xml:space="preserve"> </w:t>
      </w:r>
      <w:proofErr w:type="gramStart"/>
      <w:r w:rsidRPr="00893824">
        <w:t>Variances</w:t>
      </w:r>
      <w:proofErr w:type="gramEnd"/>
      <w:r w:rsidRPr="00893824">
        <w:t xml:space="preserve"> were homogeneous, so t-test and ANOVA assumptions regarding variance were satisfied.</w:t>
      </w:r>
    </w:p>
    <w:p w:rsidR="00753C80" w:rsidRPr="00893824" w:rsidRDefault="00753C80" w:rsidP="00DD0F3C">
      <w:pPr>
        <w:pStyle w:val="NormalWeb"/>
        <w:jc w:val="both"/>
        <w:rPr>
          <w:sz w:val="28"/>
          <w:szCs w:val="28"/>
        </w:rPr>
      </w:pPr>
      <w:r w:rsidRPr="00893824">
        <w:rPr>
          <w:rStyle w:val="Strong"/>
          <w:rFonts w:eastAsiaTheme="majorEastAsia"/>
          <w:sz w:val="28"/>
          <w:szCs w:val="28"/>
        </w:rPr>
        <w:t>Limitations:</w:t>
      </w:r>
    </w:p>
    <w:p w:rsidR="00753C80" w:rsidRPr="00893824" w:rsidRDefault="00753C80" w:rsidP="00DD0F3C">
      <w:pPr>
        <w:pStyle w:val="NormalWeb"/>
        <w:numPr>
          <w:ilvl w:val="0"/>
          <w:numId w:val="12"/>
        </w:numPr>
        <w:jc w:val="both"/>
      </w:pPr>
      <w:r w:rsidRPr="00893824">
        <w:t>Small sample size may reduce statistical power.</w:t>
      </w:r>
    </w:p>
    <w:p w:rsidR="00753C80" w:rsidRPr="00893824" w:rsidRDefault="00753C80" w:rsidP="00DD0F3C">
      <w:pPr>
        <w:pStyle w:val="NormalWeb"/>
        <w:numPr>
          <w:ilvl w:val="0"/>
          <w:numId w:val="12"/>
        </w:numPr>
        <w:jc w:val="both"/>
      </w:pPr>
      <w:r w:rsidRPr="00893824">
        <w:t>Non-normality suggests non-parametric tests may be more appropriate.</w:t>
      </w:r>
    </w:p>
    <w:p w:rsidR="00753C80" w:rsidRPr="00893824" w:rsidRDefault="00753C80" w:rsidP="00DD0F3C">
      <w:pPr>
        <w:pStyle w:val="NormalWeb"/>
        <w:numPr>
          <w:ilvl w:val="0"/>
          <w:numId w:val="12"/>
        </w:numPr>
        <w:jc w:val="both"/>
      </w:pPr>
      <w:r w:rsidRPr="00893824">
        <w:t>Single dataset limits generalizability.</w:t>
      </w:r>
    </w:p>
    <w:p w:rsidR="00753C80" w:rsidRPr="00893824" w:rsidRDefault="00753C80" w:rsidP="00DD0F3C">
      <w:pPr>
        <w:pStyle w:val="NormalWeb"/>
        <w:jc w:val="both"/>
        <w:rPr>
          <w:sz w:val="28"/>
          <w:szCs w:val="28"/>
        </w:rPr>
      </w:pPr>
      <w:r w:rsidRPr="00893824">
        <w:rPr>
          <w:rStyle w:val="Strong"/>
          <w:rFonts w:eastAsiaTheme="majorEastAsia"/>
          <w:sz w:val="28"/>
          <w:szCs w:val="28"/>
        </w:rPr>
        <w:t>Conclusion:</w:t>
      </w:r>
    </w:p>
    <w:p w:rsidR="00753C80" w:rsidRDefault="00753C80" w:rsidP="00DD0F3C">
      <w:pPr>
        <w:pStyle w:val="NormalWeb"/>
        <w:ind w:left="360"/>
        <w:jc w:val="both"/>
      </w:pPr>
      <w:r w:rsidRPr="00893824">
        <w:t>Glucose is significantly elevated; BMI and insulin do not show significant group differences.</w:t>
      </w:r>
      <w:r w:rsidR="00DD0F3C">
        <w:t xml:space="preserve"> </w:t>
      </w:r>
      <w:r w:rsidRPr="00893824">
        <w:t>These findings provide preliminary statistical insight into breast cancer-related clinical variables and can inform further research.</w:t>
      </w:r>
    </w:p>
    <w:p w:rsidR="00DD0F3C" w:rsidRDefault="00DD0F3C" w:rsidP="00DD0F3C">
      <w:pPr>
        <w:pStyle w:val="NormalWeb"/>
      </w:pPr>
      <w:r>
        <w:rPr>
          <w:rStyle w:val="Strong"/>
          <w:rFonts w:eastAsiaTheme="majorEastAsia"/>
        </w:rPr>
        <w:t>Recommendations:</w:t>
      </w:r>
    </w:p>
    <w:p w:rsidR="00DD0F3C" w:rsidRDefault="00DD0F3C" w:rsidP="00DD0F3C">
      <w:pPr>
        <w:pStyle w:val="NormalWeb"/>
        <w:numPr>
          <w:ilvl w:val="0"/>
          <w:numId w:val="18"/>
        </w:numPr>
      </w:pPr>
      <w:r>
        <w:t>Routine glucose monitoring for at-risk populations.</w:t>
      </w:r>
    </w:p>
    <w:p w:rsidR="00DD0F3C" w:rsidRDefault="00DD0F3C" w:rsidP="00DD0F3C">
      <w:pPr>
        <w:pStyle w:val="NormalWeb"/>
        <w:numPr>
          <w:ilvl w:val="0"/>
          <w:numId w:val="18"/>
        </w:numPr>
      </w:pPr>
      <w:r>
        <w:t>Combined analysis of metabolic and clinical markers for early detection strategies.</w:t>
      </w:r>
    </w:p>
    <w:p w:rsidR="00DD0F3C" w:rsidRPr="00893824" w:rsidRDefault="00DD0F3C" w:rsidP="00DD0F3C">
      <w:pPr>
        <w:pStyle w:val="NormalWeb"/>
        <w:jc w:val="both"/>
      </w:pPr>
    </w:p>
    <w:p w:rsidR="00753C80" w:rsidRPr="00C52BC8" w:rsidRDefault="00753C80" w:rsidP="00DD0F3C">
      <w:pPr>
        <w:spacing w:before="100" w:beforeAutospacing="1" w:after="100" w:afterAutospacing="1" w:line="240" w:lineRule="auto"/>
        <w:jc w:val="both"/>
        <w:rPr>
          <w:rFonts w:ascii="Times New Roman" w:eastAsia="Times New Roman" w:hAnsi="Times New Roman" w:cs="Times New Roman"/>
          <w:kern w:val="0"/>
          <w14:ligatures w14:val="none"/>
        </w:rPr>
      </w:pPr>
    </w:p>
    <w:p w:rsidR="00C52BC8" w:rsidRPr="00C52BC8" w:rsidRDefault="00C52BC8" w:rsidP="00C52BC8">
      <w:pPr>
        <w:spacing w:before="100" w:beforeAutospacing="1" w:after="100" w:afterAutospacing="1" w:line="240" w:lineRule="auto"/>
        <w:rPr>
          <w:rFonts w:ascii="Times New Roman" w:eastAsia="Times New Roman" w:hAnsi="Times New Roman" w:cs="Times New Roman"/>
          <w:kern w:val="0"/>
          <w14:ligatures w14:val="none"/>
        </w:rPr>
      </w:pPr>
    </w:p>
    <w:p w:rsidR="00C52BC8" w:rsidRPr="00C52BC8" w:rsidRDefault="00C52BC8" w:rsidP="00C52BC8">
      <w:pPr>
        <w:jc w:val="both"/>
        <w:rPr>
          <w:rFonts w:ascii="Times New Roman" w:hAnsi="Times New Roman" w:cs="Times New Roman"/>
          <w:sz w:val="22"/>
          <w:szCs w:val="22"/>
        </w:rPr>
      </w:pPr>
    </w:p>
    <w:sectPr w:rsidR="00C52BC8" w:rsidRPr="00C5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09C4"/>
    <w:multiLevelType w:val="multilevel"/>
    <w:tmpl w:val="C90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A76"/>
    <w:multiLevelType w:val="multilevel"/>
    <w:tmpl w:val="91E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1DC4"/>
    <w:multiLevelType w:val="multilevel"/>
    <w:tmpl w:val="536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B70B3"/>
    <w:multiLevelType w:val="multilevel"/>
    <w:tmpl w:val="82D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1302"/>
    <w:multiLevelType w:val="multilevel"/>
    <w:tmpl w:val="E47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006EE"/>
    <w:multiLevelType w:val="multilevel"/>
    <w:tmpl w:val="1FEAA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A4926"/>
    <w:multiLevelType w:val="multilevel"/>
    <w:tmpl w:val="DFD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238BA"/>
    <w:multiLevelType w:val="multilevel"/>
    <w:tmpl w:val="03C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27946"/>
    <w:multiLevelType w:val="multilevel"/>
    <w:tmpl w:val="A69E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6BB1"/>
    <w:multiLevelType w:val="multilevel"/>
    <w:tmpl w:val="5D562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349A9"/>
    <w:multiLevelType w:val="multilevel"/>
    <w:tmpl w:val="2A22E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20BE9"/>
    <w:multiLevelType w:val="multilevel"/>
    <w:tmpl w:val="1C3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E1D4F"/>
    <w:multiLevelType w:val="multilevel"/>
    <w:tmpl w:val="2184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235DB"/>
    <w:multiLevelType w:val="hybridMultilevel"/>
    <w:tmpl w:val="910A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C665D"/>
    <w:multiLevelType w:val="multilevel"/>
    <w:tmpl w:val="B83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A60EA"/>
    <w:multiLevelType w:val="multilevel"/>
    <w:tmpl w:val="5DD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E183D"/>
    <w:multiLevelType w:val="multilevel"/>
    <w:tmpl w:val="2CBA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B3738"/>
    <w:multiLevelType w:val="multilevel"/>
    <w:tmpl w:val="2E62B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681703">
    <w:abstractNumId w:val="12"/>
  </w:num>
  <w:num w:numId="2" w16cid:durableId="1734893682">
    <w:abstractNumId w:val="9"/>
  </w:num>
  <w:num w:numId="3" w16cid:durableId="712312626">
    <w:abstractNumId w:val="10"/>
  </w:num>
  <w:num w:numId="4" w16cid:durableId="1619995710">
    <w:abstractNumId w:val="15"/>
  </w:num>
  <w:num w:numId="5" w16cid:durableId="1029798222">
    <w:abstractNumId w:val="16"/>
  </w:num>
  <w:num w:numId="6" w16cid:durableId="1532255545">
    <w:abstractNumId w:val="17"/>
  </w:num>
  <w:num w:numId="7" w16cid:durableId="489178007">
    <w:abstractNumId w:val="6"/>
  </w:num>
  <w:num w:numId="8" w16cid:durableId="167214154">
    <w:abstractNumId w:val="7"/>
  </w:num>
  <w:num w:numId="9" w16cid:durableId="1750689684">
    <w:abstractNumId w:val="13"/>
  </w:num>
  <w:num w:numId="10" w16cid:durableId="2041465525">
    <w:abstractNumId w:val="4"/>
  </w:num>
  <w:num w:numId="11" w16cid:durableId="1137802114">
    <w:abstractNumId w:val="11"/>
  </w:num>
  <w:num w:numId="12" w16cid:durableId="1870948400">
    <w:abstractNumId w:val="1"/>
  </w:num>
  <w:num w:numId="13" w16cid:durableId="567347334">
    <w:abstractNumId w:val="8"/>
  </w:num>
  <w:num w:numId="14" w16cid:durableId="754478147">
    <w:abstractNumId w:val="5"/>
  </w:num>
  <w:num w:numId="15" w16cid:durableId="751708022">
    <w:abstractNumId w:val="2"/>
  </w:num>
  <w:num w:numId="16" w16cid:durableId="23335236">
    <w:abstractNumId w:val="3"/>
  </w:num>
  <w:num w:numId="17" w16cid:durableId="823083784">
    <w:abstractNumId w:val="0"/>
  </w:num>
  <w:num w:numId="18" w16cid:durableId="10057902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C8"/>
    <w:rsid w:val="004062A1"/>
    <w:rsid w:val="004C00C9"/>
    <w:rsid w:val="00604AEF"/>
    <w:rsid w:val="00692241"/>
    <w:rsid w:val="00753C80"/>
    <w:rsid w:val="00773788"/>
    <w:rsid w:val="007D19F9"/>
    <w:rsid w:val="00893824"/>
    <w:rsid w:val="00AE3038"/>
    <w:rsid w:val="00B67C36"/>
    <w:rsid w:val="00C52BC8"/>
    <w:rsid w:val="00DD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2337"/>
  <w15:chartTrackingRefBased/>
  <w15:docId w15:val="{7F5B1BBB-4107-F04D-B2D8-A49AA354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2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2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2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2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BC8"/>
    <w:rPr>
      <w:rFonts w:eastAsiaTheme="majorEastAsia" w:cstheme="majorBidi"/>
      <w:color w:val="272727" w:themeColor="text1" w:themeTint="D8"/>
    </w:rPr>
  </w:style>
  <w:style w:type="paragraph" w:styleId="Title">
    <w:name w:val="Title"/>
    <w:basedOn w:val="Normal"/>
    <w:next w:val="Normal"/>
    <w:link w:val="TitleChar"/>
    <w:uiPriority w:val="10"/>
    <w:qFormat/>
    <w:rsid w:val="00C52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BC8"/>
    <w:pPr>
      <w:spacing w:before="160"/>
      <w:jc w:val="center"/>
    </w:pPr>
    <w:rPr>
      <w:i/>
      <w:iCs/>
      <w:color w:val="404040" w:themeColor="text1" w:themeTint="BF"/>
    </w:rPr>
  </w:style>
  <w:style w:type="character" w:customStyle="1" w:styleId="QuoteChar">
    <w:name w:val="Quote Char"/>
    <w:basedOn w:val="DefaultParagraphFont"/>
    <w:link w:val="Quote"/>
    <w:uiPriority w:val="29"/>
    <w:rsid w:val="00C52BC8"/>
    <w:rPr>
      <w:i/>
      <w:iCs/>
      <w:color w:val="404040" w:themeColor="text1" w:themeTint="BF"/>
    </w:rPr>
  </w:style>
  <w:style w:type="paragraph" w:styleId="ListParagraph">
    <w:name w:val="List Paragraph"/>
    <w:basedOn w:val="Normal"/>
    <w:uiPriority w:val="34"/>
    <w:qFormat/>
    <w:rsid w:val="00C52BC8"/>
    <w:pPr>
      <w:ind w:left="720"/>
      <w:contextualSpacing/>
    </w:pPr>
  </w:style>
  <w:style w:type="character" w:styleId="IntenseEmphasis">
    <w:name w:val="Intense Emphasis"/>
    <w:basedOn w:val="DefaultParagraphFont"/>
    <w:uiPriority w:val="21"/>
    <w:qFormat/>
    <w:rsid w:val="00C52BC8"/>
    <w:rPr>
      <w:i/>
      <w:iCs/>
      <w:color w:val="0F4761" w:themeColor="accent1" w:themeShade="BF"/>
    </w:rPr>
  </w:style>
  <w:style w:type="paragraph" w:styleId="IntenseQuote">
    <w:name w:val="Intense Quote"/>
    <w:basedOn w:val="Normal"/>
    <w:next w:val="Normal"/>
    <w:link w:val="IntenseQuoteChar"/>
    <w:uiPriority w:val="30"/>
    <w:qFormat/>
    <w:rsid w:val="00C5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BC8"/>
    <w:rPr>
      <w:i/>
      <w:iCs/>
      <w:color w:val="0F4761" w:themeColor="accent1" w:themeShade="BF"/>
    </w:rPr>
  </w:style>
  <w:style w:type="character" w:styleId="IntenseReference">
    <w:name w:val="Intense Reference"/>
    <w:basedOn w:val="DefaultParagraphFont"/>
    <w:uiPriority w:val="32"/>
    <w:qFormat/>
    <w:rsid w:val="00C52BC8"/>
    <w:rPr>
      <w:b/>
      <w:bCs/>
      <w:smallCaps/>
      <w:color w:val="0F4761" w:themeColor="accent1" w:themeShade="BF"/>
      <w:spacing w:val="5"/>
    </w:rPr>
  </w:style>
  <w:style w:type="character" w:styleId="Strong">
    <w:name w:val="Strong"/>
    <w:basedOn w:val="DefaultParagraphFont"/>
    <w:uiPriority w:val="22"/>
    <w:qFormat/>
    <w:rsid w:val="00C52BC8"/>
    <w:rPr>
      <w:b/>
      <w:bCs/>
    </w:rPr>
  </w:style>
  <w:style w:type="paragraph" w:styleId="NormalWeb">
    <w:name w:val="Normal (Web)"/>
    <w:basedOn w:val="Normal"/>
    <w:uiPriority w:val="99"/>
    <w:unhideWhenUsed/>
    <w:rsid w:val="00C52B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52BC8"/>
    <w:rPr>
      <w:color w:val="0000FF"/>
      <w:u w:val="single"/>
    </w:rPr>
  </w:style>
  <w:style w:type="character" w:styleId="HTMLCode">
    <w:name w:val="HTML Code"/>
    <w:basedOn w:val="DefaultParagraphFont"/>
    <w:uiPriority w:val="99"/>
    <w:semiHidden/>
    <w:unhideWhenUsed/>
    <w:rsid w:val="00753C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tom1991/breast-cancer-coimbra?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FriedChicken</dc:creator>
  <cp:keywords/>
  <dc:description/>
  <cp:lastModifiedBy>FriedChicken</cp:lastModifiedBy>
  <cp:revision>3</cp:revision>
  <cp:lastPrinted>2025-09-22T17:44:00Z</cp:lastPrinted>
  <dcterms:created xsi:type="dcterms:W3CDTF">2025-09-22T17:44:00Z</dcterms:created>
  <dcterms:modified xsi:type="dcterms:W3CDTF">2025-09-22T17:54:00Z</dcterms:modified>
</cp:coreProperties>
</file>