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72"/>
        </w:rPr>
        <w:t>NeuroCure</w:t>
      </w:r>
    </w:p>
    <w:p>
      <w:pPr>
        <w:jc w:val="center"/>
      </w:pPr>
      <w:r>
        <w:rPr>
          <w:color w:val="666666"/>
          <w:sz w:val="32"/>
        </w:rPr>
        <w:t>Retraining-Free AI Framework for 3D Neurodegenerative Brain</w:t>
        <w:br/>
        <w:t>Reconstruction &amp; Computational Evaluation for</w:t>
        <w:br/>
        <w:t>Neuroregenerative Therapy</w:t>
      </w:r>
    </w:p>
    <w:p/>
    <w:p>
      <w:pPr>
        <w:jc w:val="center"/>
      </w:pPr>
      <w:r>
        <w:rPr>
          <w:color w:val="1A1A2E"/>
          <w:sz w:val="28"/>
        </w:rPr>
        <w:t>Technical Documentation &amp; Research Paper Reference</w:t>
      </w:r>
    </w:p>
    <w:p/>
    <w:p>
      <w:pPr>
        <w:jc w:val="center"/>
      </w:pPr>
      <w:r>
        <w:rPr>
          <w:color w:val="666666"/>
          <w:sz w:val="22"/>
        </w:rPr>
        <w:t>Version 2.0  ·  August 2026</w:t>
      </w:r>
    </w:p>
    <w:p>
      <w:r>
        <w:br w:type="page"/>
      </w:r>
    </w:p>
    <w:p>
      <w:pPr>
        <w:pStyle w:val="Heading1"/>
      </w:pPr>
      <w:r>
        <w:rPr>
          <w:color w:val="1F4E79"/>
        </w:rPr>
        <w:t>Table of Contents</w:t>
      </w:r>
    </w:p>
    <w:p>
      <w:pPr>
        <w:pStyle w:val="ListBullet"/>
      </w:pPr>
      <w:r>
        <w:rPr>
          <w:sz w:val="22"/>
        </w:rPr>
        <w:t>1. Introduction &amp; Motivation</w:t>
      </w:r>
    </w:p>
    <w:p>
      <w:pPr>
        <w:pStyle w:val="ListBullet"/>
      </w:pPr>
      <w:r>
        <w:rPr>
          <w:sz w:val="22"/>
        </w:rPr>
        <w:t>2. System Architecture</w:t>
      </w:r>
    </w:p>
    <w:p>
      <w:pPr>
        <w:pStyle w:val="ListBullet"/>
      </w:pPr>
      <w:r>
        <w:rPr>
          <w:sz w:val="22"/>
        </w:rPr>
        <w:t>3. Core Pipeline Modules</w:t>
      </w:r>
    </w:p>
    <w:p>
      <w:pPr>
        <w:pStyle w:val="ListBullet"/>
      </w:pPr>
      <w:r>
        <w:rPr>
          <w:sz w:val="22"/>
        </w:rPr>
        <w:t xml:space="preserve">   3.1 Retraining-Free Segmentation (SAM + TTA)</w:t>
      </w:r>
    </w:p>
    <w:p>
      <w:pPr>
        <w:pStyle w:val="ListBullet"/>
      </w:pPr>
      <w:r>
        <w:rPr>
          <w:sz w:val="22"/>
        </w:rPr>
        <w:t xml:space="preserve">   3.2 3D Volumetric Reconstruction</w:t>
      </w:r>
    </w:p>
    <w:p>
      <w:pPr>
        <w:pStyle w:val="ListBullet"/>
      </w:pPr>
      <w:r>
        <w:rPr>
          <w:sz w:val="22"/>
        </w:rPr>
        <w:t xml:space="preserve">   3.3 Disease Classification (36-Disease Ensemble MLP)</w:t>
      </w:r>
    </w:p>
    <w:p>
      <w:pPr>
        <w:pStyle w:val="ListBullet"/>
      </w:pPr>
      <w:r>
        <w:rPr>
          <w:sz w:val="22"/>
        </w:rPr>
        <w:t xml:space="preserve">   3.4 Computational Therapy Evaluation</w:t>
      </w:r>
    </w:p>
    <w:p>
      <w:pPr>
        <w:pStyle w:val="ListBullet"/>
      </w:pPr>
      <w:r>
        <w:rPr>
          <w:sz w:val="22"/>
        </w:rPr>
        <w:t>4. NeuroCure Web Application</w:t>
      </w:r>
    </w:p>
    <w:p>
      <w:pPr>
        <w:pStyle w:val="ListBullet"/>
      </w:pPr>
      <w:r>
        <w:rPr>
          <w:sz w:val="22"/>
        </w:rPr>
        <w:t xml:space="preserve">   4.1 Upload &amp; Demo Brain</w:t>
      </w:r>
    </w:p>
    <w:p>
      <w:pPr>
        <w:pStyle w:val="ListBullet"/>
      </w:pPr>
      <w:r>
        <w:rPr>
          <w:sz w:val="22"/>
        </w:rPr>
        <w:t xml:space="preserve">   4.2 3D Brain Reconstruction Viewer</w:t>
      </w:r>
    </w:p>
    <w:p>
      <w:pPr>
        <w:pStyle w:val="ListBullet"/>
      </w:pPr>
      <w:r>
        <w:rPr>
          <w:sz w:val="22"/>
        </w:rPr>
        <w:t xml:space="preserve">   4.3 Disease Prediction</w:t>
      </w:r>
    </w:p>
    <w:p>
      <w:pPr>
        <w:pStyle w:val="ListBullet"/>
      </w:pPr>
      <w:r>
        <w:rPr>
          <w:sz w:val="22"/>
        </w:rPr>
        <w:t xml:space="preserve">   4.4 Therapy Recommendation</w:t>
      </w:r>
    </w:p>
    <w:p>
      <w:pPr>
        <w:pStyle w:val="ListBullet"/>
      </w:pPr>
      <w:r>
        <w:rPr>
          <w:sz w:val="22"/>
        </w:rPr>
        <w:t xml:space="preserve">   4.5 Live Cure Simulation</w:t>
      </w:r>
    </w:p>
    <w:p>
      <w:pPr>
        <w:pStyle w:val="ListBullet"/>
      </w:pPr>
      <w:r>
        <w:rPr>
          <w:sz w:val="22"/>
        </w:rPr>
        <w:t xml:space="preserve">   4.6 Report Generation</w:t>
      </w:r>
    </w:p>
    <w:p>
      <w:pPr>
        <w:pStyle w:val="ListBullet"/>
      </w:pPr>
      <w:r>
        <w:rPr>
          <w:sz w:val="22"/>
        </w:rPr>
        <w:t xml:space="preserve">   4.7 Model Evaluation Dashboard</w:t>
      </w:r>
    </w:p>
    <w:p>
      <w:pPr>
        <w:pStyle w:val="ListBullet"/>
      </w:pPr>
      <w:r>
        <w:rPr>
          <w:sz w:val="22"/>
        </w:rPr>
        <w:t>5. Technical Specifications</w:t>
      </w:r>
    </w:p>
    <w:p>
      <w:pPr>
        <w:pStyle w:val="ListBullet"/>
      </w:pPr>
      <w:r>
        <w:rPr>
          <w:sz w:val="22"/>
        </w:rPr>
        <w:t>6. Key Algorithms &amp; Methods</w:t>
      </w:r>
    </w:p>
    <w:p>
      <w:pPr>
        <w:pStyle w:val="ListBullet"/>
      </w:pPr>
      <w:r>
        <w:rPr>
          <w:sz w:val="22"/>
        </w:rPr>
        <w:t>7. Data Assets &amp; Anatomical Atlases</w:t>
      </w:r>
    </w:p>
    <w:p>
      <w:pPr>
        <w:pStyle w:val="ListBullet"/>
      </w:pPr>
      <w:r>
        <w:rPr>
          <w:sz w:val="22"/>
        </w:rPr>
        <w:t>8. Testing &amp; Quality Assurance</w:t>
      </w:r>
    </w:p>
    <w:p>
      <w:pPr>
        <w:pStyle w:val="ListBullet"/>
      </w:pPr>
      <w:r>
        <w:rPr>
          <w:sz w:val="22"/>
        </w:rPr>
        <w:t>9. Deployment &amp; Cloud Hosting</w:t>
      </w:r>
    </w:p>
    <w:p>
      <w:pPr>
        <w:pStyle w:val="ListBullet"/>
      </w:pPr>
      <w:r>
        <w:rPr>
          <w:sz w:val="22"/>
        </w:rPr>
        <w:t>10. File Structure Reference</w:t>
      </w:r>
    </w:p>
    <w:p>
      <w:pPr>
        <w:pStyle w:val="ListBullet"/>
      </w:pPr>
      <w:r>
        <w:rPr>
          <w:sz w:val="22"/>
        </w:rPr>
        <w:t>11. Dependencies &amp; Requirements</w:t>
      </w:r>
    </w:p>
    <w:p>
      <w:r>
        <w:br w:type="page"/>
      </w:r>
    </w:p>
    <w:p>
      <w:pPr>
        <w:pStyle w:val="Heading1"/>
      </w:pPr>
      <w:r>
        <w:rPr>
          <w:color w:val="1F4E79"/>
        </w:rPr>
        <w:t>1. Introduction &amp; Motivation</w:t>
      </w:r>
    </w:p>
    <w:p>
      <w:r>
        <w:rPr>
          <w:sz w:val="22"/>
        </w:rPr>
        <w:t>NeuroCure is a production-grade, interactive web platform that implements a retraining-free AI framework for 3D neurodegenerative brain reconstruction and computational evaluation of neuroregenerative therapy. The system addresses a fundamental limitation in clinical neuroimaging: the dependence on large, annotated datasets for training disease-classification models.</w:t>
      </w:r>
    </w:p>
    <w:p>
      <w:r>
        <w:rPr>
          <w:sz w:val="22"/>
        </w:rPr>
        <w:t>Traditional deep-learning approaches to brain disease diagnosis require thousands of labeled MRI scans, extensive GPU training time, and frequent retraining as new data becomes available. NeuroCure replaces this paradigm with a zero-shot / few-shot approach powered by the Segment Anything Model (SAM) with test-time adaptation (TTA), enabling accurate tissue segmentation and disease assessment without any model retraining.</w:t>
      </w:r>
    </w:p>
    <w:p>
      <w:r>
        <w:rPr>
          <w:sz w:val="22"/>
        </w:rPr>
        <w:t>The framework unifies four major components:</w:t>
      </w:r>
    </w:p>
    <w:p>
      <w:pPr>
        <w:pStyle w:val="ListBullet"/>
      </w:pPr>
      <w:r>
        <w:rPr>
          <w:sz w:val="22"/>
        </w:rPr>
      </w:r>
      <w:r>
        <w:rPr>
          <w:b/>
          <w:sz w:val="22"/>
        </w:rPr>
        <w:t xml:space="preserve">1. </w:t>
      </w:r>
      <w:r>
        <w:rPr>
          <w:sz w:val="22"/>
        </w:rPr>
        <w:t>Retraining-free segmentation — SAM with test-time adaptation for zero-shot tissue segmentation</w:t>
      </w:r>
    </w:p>
    <w:p>
      <w:pPr>
        <w:pStyle w:val="ListBullet"/>
      </w:pPr>
      <w:r>
        <w:rPr>
          <w:sz w:val="22"/>
        </w:rPr>
      </w:r>
      <w:r>
        <w:rPr>
          <w:b/>
          <w:sz w:val="22"/>
        </w:rPr>
        <w:t xml:space="preserve">2. </w:t>
      </w:r>
      <w:r>
        <w:rPr>
          <w:sz w:val="22"/>
        </w:rPr>
        <w:t>3D volumetric reconstruction — Marching Cubes isosurface extraction with per-tissue mesh generation</w:t>
      </w:r>
    </w:p>
    <w:p>
      <w:pPr>
        <w:pStyle w:val="ListBullet"/>
      </w:pPr>
      <w:r>
        <w:rPr>
          <w:sz w:val="22"/>
        </w:rPr>
      </w:r>
      <w:r>
        <w:rPr>
          <w:b/>
          <w:sz w:val="22"/>
        </w:rPr>
        <w:t xml:space="preserve">3. </w:t>
      </w:r>
      <w:r>
        <w:rPr>
          <w:sz w:val="22"/>
        </w:rPr>
        <w:t>36-disease classification — ensemble MLP with self-attention over anatomical features</w:t>
      </w:r>
    </w:p>
    <w:p>
      <w:pPr>
        <w:pStyle w:val="ListBullet"/>
      </w:pPr>
      <w:r>
        <w:rPr>
          <w:sz w:val="22"/>
        </w:rPr>
      </w:r>
      <w:r>
        <w:rPr>
          <w:b/>
          <w:sz w:val="22"/>
        </w:rPr>
        <w:t xml:space="preserve">4. </w:t>
      </w:r>
      <w:r>
        <w:rPr>
          <w:sz w:val="22"/>
        </w:rPr>
        <w:t>Computational therapy evaluation — spatial lesion analysis, therapy simulation, and compatibility scoring</w:t>
      </w:r>
    </w:p>
    <w:p>
      <w:r>
        <w:rPr>
          <w:sz w:val="22"/>
        </w:rPr>
        <w:t>The system is delivered as an interactive Streamlit web application with a dark clinical UI, real-time 3D visualization using Plotly.js and Three.js, and a comprehensive statistical evaluation dashboard.</w:t>
      </w:r>
    </w:p>
    <w:p>
      <w:r>
        <w:br w:type="page"/>
      </w:r>
    </w:p>
    <w:p>
      <w:pPr>
        <w:pStyle w:val="Heading1"/>
      </w:pPr>
      <w:r>
        <w:rPr>
          <w:color w:val="1F4E79"/>
        </w:rPr>
        <w:t>2. System Architecture</w:t>
      </w:r>
    </w:p>
    <w:p>
      <w:r>
        <w:rPr>
          <w:sz w:val="22"/>
        </w:rPr>
        <w:t>The NeuroCure framework follows a modular, stage-based pipeline architecture:</w:t>
      </w:r>
    </w:p>
    <w:p>
      <w:pPr>
        <w:spacing w:before="120" w:after="120"/>
        <w:ind w:left="432"/>
      </w:pPr>
      <w:r>
        <w:rPr>
          <w:rFonts w:ascii="Courier New" w:hAnsi="Courier New"/>
          <w:color w:val="202020"/>
          <w:sz w:val="18"/>
        </w:rPr>
        <w:t xml:space="preserve">            ┌──────────────────┐</w:t>
        <w:br/>
        <w:t xml:space="preserve"> MRI volume │  classification   │  (supervised baseline: data-dependent contrast)</w:t>
        <w:br/>
        <w:t xml:space="preserve">  ────────► │  (entry module)   │</w:t>
        <w:br/>
        <w:t xml:space="preserve">            └────────┬─────────┘</w:t>
        <w:br/>
        <w:t xml:space="preserve">                     ▼</w:t>
        <w:br/>
        <w:t xml:space="preserve">            ┌──────────────────┐</w:t>
        <w:br/>
        <w:t xml:space="preserve">            │  segmentation     │  SAM (zero/few-shot) + TTA, no retraining</w:t>
        <w:br/>
        <w:t xml:space="preserve">            └────────┬─────────┘</w:t>
        <w:br/>
        <w:t xml:space="preserve">                     ▼</w:t>
        <w:br/>
        <w:t xml:space="preserve">            ┌──────────────────┐</w:t>
        <w:br/>
        <w:t xml:space="preserve">            │  reconstruction   │  slice stacking → Marching Cubes → mesh + metrics</w:t>
        <w:br/>
        <w:t xml:space="preserve">            └────────┬─────────┘</w:t>
        <w:br/>
        <w:t xml:space="preserve">                     ▼</w:t>
        <w:br/>
        <w:t xml:space="preserve">            ┌──────────────────┐</w:t>
        <w:br/>
        <w:t xml:space="preserve">            │  evaluation       │  lesion analysis + therapy simulator + compatibility</w:t>
        <w:br/>
        <w:t xml:space="preserve">            └──────────────────┘</w:t>
      </w:r>
    </w:p>
    <w:p>
      <w:pPr>
        <w:ind w:left="432"/>
      </w:pPr>
      <w:r>
        <w:rPr>
          <w:i/>
          <w:color w:val="666666"/>
          <w:sz w:val="16"/>
        </w:rPr>
        <w:t>[ASCII]</w:t>
      </w:r>
    </w:p>
    <w:p>
      <w:r>
        <w:rPr>
          <w:sz w:val="22"/>
        </w:rPr>
        <w:t>Each stage is independently importable and testable, sharing a common configuration system and data layer. The pipeline can run end-to-end from a raw MRI volume to a full therapy evaluation report, or individual stages can be invoked separately.</w:t>
      </w:r>
    </w:p>
    <w:p>
      <w:pPr>
        <w:pStyle w:val="Heading2"/>
      </w:pPr>
      <w:r>
        <w:rPr>
          <w:color w:val="1F4E79"/>
        </w:rPr>
        <w:t>2.1 Module Overview</w:t>
      </w:r>
    </w:p>
    <w:tbl>
      <w:tblPr>
        <w:tblStyle w:val="TableGrid"/>
        <w:tblW w:type="auto" w:w="0"/>
        <w:tblLook w:firstColumn="1" w:firstRow="1" w:lastColumn="0" w:lastRow="0" w:noHBand="0" w:noVBand="1" w:val="04A0"/>
      </w:tblPr>
      <w:tblGrid>
        <w:gridCol w:w="2880"/>
        <w:gridCol w:w="2880"/>
        <w:gridCol w:w="2880"/>
      </w:tblGrid>
      <w:tr>
        <w:tc>
          <w:tcPr>
            <w:tcW w:type="dxa" w:w="2160"/>
            <w:shd w:fill="1F4E79" w:val="clear"/>
          </w:tcPr>
          <w:p>
            <w:pPr>
              <w:jc w:val="center"/>
            </w:pPr>
            <w:r>
              <w:rPr>
                <w:b/>
                <w:color w:val="FFFFFF"/>
                <w:sz w:val="20"/>
              </w:rPr>
              <w:t>Module</w:t>
            </w:r>
          </w:p>
        </w:tc>
        <w:tc>
          <w:tcPr>
            <w:tcW w:type="dxa" w:w="2880"/>
            <w:shd w:fill="1F4E79" w:val="clear"/>
          </w:tcPr>
          <w:p>
            <w:pPr>
              <w:jc w:val="center"/>
            </w:pPr>
            <w:r>
              <w:rPr>
                <w:b/>
                <w:color w:val="FFFFFF"/>
                <w:sz w:val="20"/>
              </w:rPr>
              <w:t>Package</w:t>
            </w:r>
          </w:p>
        </w:tc>
        <w:tc>
          <w:tcPr>
            <w:tcW w:type="dxa" w:w="4320"/>
            <w:shd w:fill="1F4E79" w:val="clear"/>
          </w:tcPr>
          <w:p>
            <w:pPr>
              <w:jc w:val="center"/>
            </w:pPr>
            <w:r>
              <w:rPr>
                <w:b/>
                <w:color w:val="FFFFFF"/>
                <w:sz w:val="20"/>
              </w:rPr>
              <w:t>Purpose</w:t>
            </w:r>
          </w:p>
        </w:tc>
      </w:tr>
      <w:tr>
        <w:tc>
          <w:tcPr>
            <w:tcW w:type="dxa" w:w="2160"/>
          </w:tcPr>
          <w:p>
            <w:r>
              <w:rPr>
                <w:sz w:val="20"/>
              </w:rPr>
              <w:t>Segmentation</w:t>
            </w:r>
          </w:p>
        </w:tc>
        <w:tc>
          <w:tcPr>
            <w:tcW w:type="dxa" w:w="2880"/>
          </w:tcPr>
          <w:p>
            <w:r>
              <w:rPr>
                <w:sz w:val="20"/>
              </w:rPr>
              <w:t>brainframe.segmentation</w:t>
            </w:r>
          </w:p>
        </w:tc>
        <w:tc>
          <w:tcPr>
            <w:tcW w:type="dxa" w:w="4320"/>
          </w:tcPr>
          <w:p>
            <w:r>
              <w:rPr>
                <w:sz w:val="20"/>
              </w:rPr>
              <w:t>SAM-based tissue segmentation with TTA</w:t>
            </w:r>
          </w:p>
        </w:tc>
      </w:tr>
      <w:tr>
        <w:tc>
          <w:tcPr>
            <w:tcW w:type="dxa" w:w="2160"/>
          </w:tcPr>
          <w:p>
            <w:r>
              <w:rPr>
                <w:sz w:val="20"/>
              </w:rPr>
              <w:t>Reconstruction</w:t>
            </w:r>
          </w:p>
        </w:tc>
        <w:tc>
          <w:tcPr>
            <w:tcW w:type="dxa" w:w="2880"/>
          </w:tcPr>
          <w:p>
            <w:r>
              <w:rPr>
                <w:sz w:val="20"/>
              </w:rPr>
              <w:t>brainframe.reconstruction</w:t>
            </w:r>
          </w:p>
        </w:tc>
        <w:tc>
          <w:tcPr>
            <w:tcW w:type="dxa" w:w="4320"/>
          </w:tcPr>
          <w:p>
            <w:r>
              <w:rPr>
                <w:sz w:val="20"/>
              </w:rPr>
              <w:t>3D mesh generation &amp; volumetric metrics</w:t>
            </w:r>
          </w:p>
        </w:tc>
      </w:tr>
      <w:tr>
        <w:tc>
          <w:tcPr>
            <w:tcW w:type="dxa" w:w="2160"/>
          </w:tcPr>
          <w:p>
            <w:r>
              <w:rPr>
                <w:sz w:val="20"/>
              </w:rPr>
              <w:t>Classification</w:t>
            </w:r>
          </w:p>
        </w:tc>
        <w:tc>
          <w:tcPr>
            <w:tcW w:type="dxa" w:w="2880"/>
          </w:tcPr>
          <w:p>
            <w:r>
              <w:rPr>
                <w:sz w:val="20"/>
              </w:rPr>
              <w:t>brainframe.classification</w:t>
            </w:r>
          </w:p>
        </w:tc>
        <w:tc>
          <w:tcPr>
            <w:tcW w:type="dxa" w:w="4320"/>
          </w:tcPr>
          <w:p>
            <w:r>
              <w:rPr>
                <w:sz w:val="20"/>
              </w:rPr>
              <w:t>36-disease ensemble MLP with self-attention</w:t>
            </w:r>
          </w:p>
        </w:tc>
      </w:tr>
      <w:tr>
        <w:tc>
          <w:tcPr>
            <w:tcW w:type="dxa" w:w="2160"/>
          </w:tcPr>
          <w:p>
            <w:r>
              <w:rPr>
                <w:sz w:val="20"/>
              </w:rPr>
              <w:t>Evaluation</w:t>
            </w:r>
          </w:p>
        </w:tc>
        <w:tc>
          <w:tcPr>
            <w:tcW w:type="dxa" w:w="2880"/>
          </w:tcPr>
          <w:p>
            <w:r>
              <w:rPr>
                <w:sz w:val="20"/>
              </w:rPr>
              <w:t>brainframe.evaluation</w:t>
            </w:r>
          </w:p>
        </w:tc>
        <w:tc>
          <w:tcPr>
            <w:tcW w:type="dxa" w:w="4320"/>
          </w:tcPr>
          <w:p>
            <w:r>
              <w:rPr>
                <w:sz w:val="20"/>
              </w:rPr>
              <w:t>Therapy simulation &amp; compatibility scoring</w:t>
            </w:r>
          </w:p>
        </w:tc>
      </w:tr>
      <w:tr>
        <w:tc>
          <w:tcPr>
            <w:tcW w:type="dxa" w:w="2160"/>
          </w:tcPr>
          <w:p>
            <w:r>
              <w:rPr>
                <w:sz w:val="20"/>
              </w:rPr>
              <w:t>Web App</w:t>
            </w:r>
          </w:p>
        </w:tc>
        <w:tc>
          <w:tcPr>
            <w:tcW w:type="dxa" w:w="2880"/>
          </w:tcPr>
          <w:p>
            <w:r>
              <w:rPr>
                <w:sz w:val="20"/>
              </w:rPr>
              <w:t>neurocure_app</w:t>
            </w:r>
          </w:p>
        </w:tc>
        <w:tc>
          <w:tcPr>
            <w:tcW w:type="dxa" w:w="4320"/>
          </w:tcPr>
          <w:p>
            <w:r>
              <w:rPr>
                <w:sz w:val="20"/>
              </w:rPr>
              <w:t>Streamlit interactive dashboard</w:t>
            </w:r>
          </w:p>
        </w:tc>
      </w:tr>
      <w:tr>
        <w:tc>
          <w:tcPr>
            <w:tcW w:type="dxa" w:w="2160"/>
          </w:tcPr>
          <w:p>
            <w:r>
              <w:rPr>
                <w:sz w:val="20"/>
              </w:rPr>
              <w:t>Configuration</w:t>
            </w:r>
          </w:p>
        </w:tc>
        <w:tc>
          <w:tcPr>
            <w:tcW w:type="dxa" w:w="2880"/>
          </w:tcPr>
          <w:p>
            <w:r>
              <w:rPr>
                <w:sz w:val="20"/>
              </w:rPr>
              <w:t>brainframe.config</w:t>
            </w:r>
          </w:p>
        </w:tc>
        <w:tc>
          <w:tcPr>
            <w:tcW w:type="dxa" w:w="4320"/>
          </w:tcPr>
          <w:p>
            <w:r>
              <w:rPr>
                <w:sz w:val="20"/>
              </w:rPr>
              <w:t>YAML-based hierarchical config system</w:t>
            </w:r>
          </w:p>
        </w:tc>
      </w:tr>
      <w:tr>
        <w:tc>
          <w:tcPr>
            <w:tcW w:type="dxa" w:w="2160"/>
          </w:tcPr>
          <w:p>
            <w:r>
              <w:rPr>
                <w:sz w:val="20"/>
              </w:rPr>
              <w:t>Data</w:t>
            </w:r>
          </w:p>
        </w:tc>
        <w:tc>
          <w:tcPr>
            <w:tcW w:type="dxa" w:w="2880"/>
          </w:tcPr>
          <w:p>
            <w:r>
              <w:rPr>
                <w:sz w:val="20"/>
              </w:rPr>
              <w:t>brainframe.data</w:t>
            </w:r>
          </w:p>
        </w:tc>
        <w:tc>
          <w:tcPr>
            <w:tcW w:type="dxa" w:w="4320"/>
          </w:tcPr>
          <w:p>
            <w:r>
              <w:rPr>
                <w:sz w:val="20"/>
              </w:rPr>
              <w:t>MRI loading, real brain assets, ICBM152 template</w:t>
            </w:r>
          </w:p>
        </w:tc>
      </w:tr>
    </w:tbl>
    <w:p>
      <w:r>
        <w:br w:type="page"/>
      </w:r>
    </w:p>
    <w:p>
      <w:pPr>
        <w:pStyle w:val="Heading1"/>
      </w:pPr>
      <w:r>
        <w:rPr>
          <w:color w:val="1F4E79"/>
        </w:rPr>
        <w:t>3. Core Pipeline Modules</w:t>
      </w:r>
    </w:p>
    <w:p>
      <w:pPr>
        <w:pStyle w:val="Heading2"/>
      </w:pPr>
      <w:r>
        <w:rPr>
          <w:color w:val="1F4E79"/>
        </w:rPr>
        <w:t>3.1 Retraining-Free Segmentation (SAM + TTA)</w:t>
      </w:r>
    </w:p>
    <w:p>
      <w:r>
        <w:rPr>
          <w:sz w:val="22"/>
        </w:rPr>
        <w:t>The segmentation module uses the Segment Anything Model (SAM) — a vision transformer pre-trained on 11 million images — applied to 2D axial slices of the 3D MRI volume. No fine-tuning or retraining is performed; the model operates in zero-shot mode with optional test-time adaptation (TTA) for context-aware refinement.</w:t>
      </w:r>
    </w:p>
    <w:p>
      <w:r>
        <w:rPr>
          <w:b/>
          <w:sz w:val="22"/>
        </w:rPr>
        <w:t xml:space="preserve">Key capabilities: </w:t>
      </w:r>
      <w:r>
        <w:rPr>
          <w:sz w:val="22"/>
        </w:rPr>
        <w:t>Key capabilities:</w:t>
      </w:r>
    </w:p>
    <w:p>
      <w:pPr>
        <w:pStyle w:val="ListBullet"/>
      </w:pPr>
      <w:r>
        <w:rPr>
          <w:sz w:val="22"/>
        </w:rPr>
        <w:t>Zero-shot segmentation with grid-based automatic prompting (no manual annotations)</w:t>
      </w:r>
    </w:p>
    <w:p>
      <w:pPr>
        <w:pStyle w:val="ListBullet"/>
      </w:pPr>
      <w:r>
        <w:rPr>
          <w:sz w:val="22"/>
        </w:rPr>
        <w:t>Test-time adaptation with entropy, IoU uncertainty, and dual-scale consistency signals</w:t>
      </w:r>
    </w:p>
    <w:p>
      <w:pPr>
        <w:pStyle w:val="ListBullet"/>
      </w:pPr>
      <w:r>
        <w:rPr>
          <w:sz w:val="22"/>
        </w:rPr>
        <w:t>Automatic label assignment: background, gray matter, white matter, CSF, lesion</w:t>
      </w:r>
    </w:p>
    <w:p>
      <w:pPr>
        <w:pStyle w:val="ListBullet"/>
      </w:pPr>
      <w:r>
        <w:rPr>
          <w:sz w:val="22"/>
        </w:rPr>
        <w:t>Post-processing: largest connected component, hole filling, smoothing, minimum voxel filtering</w:t>
      </w:r>
    </w:p>
    <w:p>
      <w:pPr>
        <w:pStyle w:val="ListBullet"/>
      </w:pPr>
      <w:r>
        <w:rPr>
          <w:sz w:val="22"/>
        </w:rPr>
        <w:t>Fallback mock segmenter for CI/testing environments without SAM weights</w:t>
      </w:r>
    </w:p>
    <w:p>
      <w:r>
        <w:rPr>
          <w:b/>
          <w:sz w:val="22"/>
        </w:rPr>
        <w:t xml:space="preserve">Configuration: </w:t>
      </w:r>
      <w:r>
        <w:rPr>
          <w:sz w:val="22"/>
        </w:rPr>
        <w:t>Configuration (configs/segmentation.yaml):</w:t>
      </w:r>
    </w:p>
    <w:p>
      <w:pPr>
        <w:spacing w:before="120" w:after="120"/>
        <w:ind w:left="432"/>
      </w:pPr>
      <w:r>
        <w:rPr>
          <w:rFonts w:ascii="Courier New" w:hAnsi="Courier New"/>
          <w:color w:val="202020"/>
          <w:sz w:val="18"/>
        </w:rPr>
        <w:t>segmentation:</w:t>
        <w:br/>
        <w:t xml:space="preserve">  sam:</w:t>
        <w:br/>
        <w:t xml:space="preserve">    model_type: vit_b        # ViT-B backbone (fast, CPU-friendly)</w:t>
        <w:br/>
        <w:t xml:space="preserve">  inference:</w:t>
        <w:br/>
        <w:t xml:space="preserve">    slice_axis: 2             # axial slicing</w:t>
        <w:br/>
        <w:t xml:space="preserve">    multimask_output: true</w:t>
        <w:br/>
        <w:t xml:space="preserve">    mask_threshold: 0.5</w:t>
        <w:br/>
        <w:t xml:space="preserve">    label_assignment:</w:t>
        <w:br/>
        <w:t xml:space="preserve">      classes: [background, gray_matter, white_matter, csf, lesion]</w:t>
        <w:br/>
        <w:t xml:space="preserve">      strategy: intensity_ranking</w:t>
        <w:br/>
        <w:t xml:space="preserve">  prompts:</w:t>
        <w:br/>
        <w:t xml:space="preserve">    auto: true</w:t>
        <w:br/>
        <w:t xml:space="preserve">    strategy: grid</w:t>
        <w:br/>
        <w:t xml:space="preserve">    grid_spacing: 64</w:t>
        <w:br/>
        <w:t xml:space="preserve">    max_points: 12</w:t>
        <w:br/>
        <w:t xml:space="preserve">  tta:</w:t>
        <w:br/>
        <w:t xml:space="preserve">    enabled: false            # enable for context-aware adaptation</w:t>
        <w:br/>
        <w:t xml:space="preserve">    signals: [entropy, iou_uncertainty, dual_scale_consistency]</w:t>
      </w:r>
    </w:p>
    <w:p>
      <w:pPr>
        <w:ind w:left="432"/>
      </w:pPr>
      <w:r>
        <w:rPr>
          <w:i/>
          <w:color w:val="666666"/>
          <w:sz w:val="16"/>
        </w:rPr>
        <w:t>[YAML]</w:t>
      </w:r>
    </w:p>
    <w:p>
      <w:pPr>
        <w:pStyle w:val="Heading2"/>
      </w:pPr>
      <w:r>
        <w:rPr>
          <w:color w:val="1F4E79"/>
        </w:rPr>
        <w:t>3.2 3D Volumetric Reconstruction</w:t>
      </w:r>
    </w:p>
    <w:p>
      <w:r>
        <w:rPr>
          <w:sz w:val="22"/>
        </w:rPr>
        <w:t>The reconstruction module converts 2D segmented slices into a full 3D volumetric representation using slice stacking with isotropic resampling, followed by isosurface extraction via Marching Cubes (or Flying Edges) to produce per-tissue polygonal meshes.</w:t>
      </w:r>
    </w:p>
    <w:p>
      <w:r>
        <w:rPr>
          <w:b/>
          <w:sz w:val="22"/>
        </w:rPr>
        <w:t xml:space="preserve">Pipeline stages: </w:t>
      </w:r>
      <w:r>
        <w:rPr>
          <w:sz w:val="22"/>
        </w:rPr>
        <w:t>Pipeline stages:</w:t>
      </w:r>
    </w:p>
    <w:p>
      <w:pPr>
        <w:pStyle w:val="ListBullet"/>
      </w:pPr>
      <w:r>
        <w:rPr>
          <w:sz w:val="22"/>
        </w:rPr>
        <w:t>Slice stacking with gap filling (morphological or linear interpolation)</w:t>
      </w:r>
    </w:p>
    <w:p>
      <w:pPr>
        <w:pStyle w:val="ListBullet"/>
      </w:pPr>
      <w:r>
        <w:rPr>
          <w:sz w:val="22"/>
        </w:rPr>
        <w:t>Isotropic resampling to 1×1×1 mm voxel spacing</w:t>
      </w:r>
    </w:p>
    <w:p>
      <w:pPr>
        <w:pStyle w:val="ListBullet"/>
      </w:pPr>
      <w:r>
        <w:rPr>
          <w:sz w:val="22"/>
        </w:rPr>
        <w:t>Marching Cubes isosurface extraction per tissue label (level=0.5)</w:t>
      </w:r>
    </w:p>
    <w:p>
      <w:pPr>
        <w:pStyle w:val="ListBullet"/>
      </w:pPr>
      <w:r>
        <w:rPr>
          <w:sz w:val="22"/>
        </w:rPr>
        <w:t>Laplacian mesh smoothing (3 iterations, λ=0.5)</w:t>
      </w:r>
    </w:p>
    <w:p>
      <w:pPr>
        <w:pStyle w:val="ListBullet"/>
      </w:pPr>
      <w:r>
        <w:rPr>
          <w:sz w:val="22"/>
        </w:rPr>
        <w:t>Volumetric metrics: volume (mm³), surface area, bounding box, centroid</w:t>
      </w:r>
    </w:p>
    <w:p>
      <w:pPr>
        <w:pStyle w:val="ListBullet"/>
      </w:pPr>
      <w:r>
        <w:rPr>
          <w:sz w:val="22"/>
        </w:rPr>
        <w:t>Atrophy ratio computation relative to reference region (white matter)</w:t>
      </w:r>
    </w:p>
    <w:p>
      <w:r>
        <w:rPr>
          <w:b/>
          <w:sz w:val="22"/>
        </w:rPr>
        <w:t xml:space="preserve">Output artifacts: </w:t>
      </w:r>
      <w:r>
        <w:rPr>
          <w:sz w:val="22"/>
        </w:rPr>
        <w:t>Output artifacts:</w:t>
      </w:r>
    </w:p>
    <w:p>
      <w:pPr>
        <w:pStyle w:val="ListBullet"/>
      </w:pPr>
      <w:r>
        <w:rPr>
          <w:sz w:val="22"/>
        </w:rPr>
        <w:t>Per-label 3D meshes (gray matter, white matter, CSF, lesion)</w:t>
      </w:r>
    </w:p>
    <w:p>
      <w:pPr>
        <w:pStyle w:val="ListBullet"/>
      </w:pPr>
      <w:r>
        <w:rPr>
          <w:sz w:val="22"/>
        </w:rPr>
        <w:t>Interactive 3D HTML visualization (Plotly.js with WebGL)</w:t>
      </w:r>
    </w:p>
    <w:p>
      <w:pPr>
        <w:pStyle w:val="ListBullet"/>
      </w:pPr>
      <w:r>
        <w:rPr>
          <w:sz w:val="22"/>
        </w:rPr>
        <w:t>Cross-section images (axial, coronal, sagittal)</w:t>
      </w:r>
    </w:p>
    <w:p>
      <w:pPr>
        <w:pStyle w:val="ListBullet"/>
      </w:pPr>
      <w:r>
        <w:rPr>
          <w:sz w:val="22"/>
        </w:rPr>
        <w:t>Mesh metrics JSON with volume, surface area, and atrophy ratios</w:t>
      </w:r>
    </w:p>
    <w:p>
      <w:pPr>
        <w:spacing w:before="120" w:after="120"/>
        <w:ind w:left="432"/>
      </w:pPr>
      <w:r>
        <w:rPr>
          <w:rFonts w:ascii="Courier New" w:hAnsi="Courier New"/>
          <w:color w:val="202020"/>
          <w:sz w:val="18"/>
        </w:rPr>
        <w:t>reconstruction:</w:t>
        <w:br/>
        <w:t xml:space="preserve">  stacking:</w:t>
        <w:br/>
        <w:t xml:space="preserve">    spacing: [1.0, 1.0, 1.0]     # isotropic 1mm voxels</w:t>
        <w:br/>
        <w:t xml:space="preserve">    interpolation: linear</w:t>
        <w:br/>
        <w:t xml:space="preserve">    fill_gaps: true</w:t>
        <w:br/>
        <w:t xml:space="preserve">  marching:</w:t>
        <w:br/>
        <w:t xml:space="preserve">    method: marching_cubes</w:t>
        <w:br/>
        <w:t xml:space="preserve">    level: 0.5</w:t>
        <w:br/>
        <w:t xml:space="preserve">    smoothing:</w:t>
        <w:br/>
        <w:t xml:space="preserve">      enabled: true</w:t>
        <w:br/>
        <w:t xml:space="preserve">      iterations: 3</w:t>
        <w:br/>
        <w:t xml:space="preserve">      lambda: 0.5</w:t>
        <w:br/>
        <w:t xml:space="preserve">    per_label: true               # separate mesh per tissue</w:t>
      </w:r>
    </w:p>
    <w:p>
      <w:pPr>
        <w:ind w:left="432"/>
      </w:pPr>
      <w:r>
        <w:rPr>
          <w:i/>
          <w:color w:val="666666"/>
          <w:sz w:val="16"/>
        </w:rPr>
        <w:t>[YAML]</w:t>
      </w:r>
    </w:p>
    <w:p>
      <w:pPr>
        <w:pStyle w:val="Heading2"/>
      </w:pPr>
      <w:r>
        <w:rPr>
          <w:color w:val="1F4E79"/>
        </w:rPr>
        <w:t>3.3 Disease Classification (36-Disease Ensemble MLP)</w:t>
      </w:r>
    </w:p>
    <w:p>
      <w:r>
        <w:rPr>
          <w:sz w:val="22"/>
        </w:rPr>
        <w:t>The classification module implements a 36-disease classifier using a 3-member ensemble of multi-layer perceptrons (MLPs) with self-attention. Rather than training on raw MRI voxels (which requires massive datasets), the model operates on 43 anatomical features extracted from the real fsaverage cortex and Harvard-Oxford deep nuclei atlases.</w:t>
      </w:r>
    </w:p>
    <w:p>
      <w:r>
        <w:rPr>
          <w:b/>
          <w:sz w:val="22"/>
        </w:rPr>
        <w:t xml:space="preserve">Architecture: </w:t>
      </w:r>
      <w:r>
        <w:rPr>
          <w:sz w:val="22"/>
        </w:rPr>
        <w:t>Architecture:</w:t>
      </w:r>
    </w:p>
    <w:p>
      <w:pPr>
        <w:pStyle w:val="ListBullet"/>
      </w:pPr>
      <w:r>
        <w:rPr>
          <w:sz w:val="22"/>
        </w:rPr>
        <w:t>3-member ensemble MLP (reduces variance, improves robustness)</w:t>
      </w:r>
    </w:p>
    <w:p>
      <w:pPr>
        <w:pStyle w:val="ListBullet"/>
      </w:pPr>
      <w:r>
        <w:rPr>
          <w:sz w:val="22"/>
        </w:rPr>
        <w:t>Self-attention layer over 43 anatomical features</w:t>
      </w:r>
    </w:p>
    <w:p>
      <w:pPr>
        <w:pStyle w:val="ListBullet"/>
      </w:pPr>
      <w:r>
        <w:rPr>
          <w:sz w:val="22"/>
        </w:rPr>
        <w:t>43 input features: cortical thickness, volume, surface area, curvature, sulcal depth, etc.</w:t>
      </w:r>
    </w:p>
    <w:p>
      <w:pPr>
        <w:pStyle w:val="ListBullet"/>
      </w:pPr>
      <w:r>
        <w:rPr>
          <w:sz w:val="22"/>
        </w:rPr>
        <w:t>36 output classes spanning neurodegenerative, vascular, infectious, and neoplastic diseases</w:t>
      </w:r>
    </w:p>
    <w:p>
      <w:pPr>
        <w:pStyle w:val="ListBullet"/>
      </w:pPr>
      <w:r>
        <w:rPr>
          <w:sz w:val="22"/>
        </w:rPr>
        <w:t>Evidence engine: feature attribution for explainable predictions</w:t>
      </w:r>
    </w:p>
    <w:p>
      <w:pPr>
        <w:pStyle w:val="ListBullet"/>
      </w:pPr>
      <w:r>
        <w:rPr>
          <w:sz w:val="22"/>
        </w:rPr>
        <w:t>Auto-training on first use if no pre-trained weights are found</w:t>
      </w:r>
    </w:p>
    <w:p>
      <w:r>
        <w:rPr>
          <w:b/>
          <w:sz w:val="22"/>
        </w:rPr>
        <w:t xml:space="preserve">Feature sources: </w:t>
      </w:r>
      <w:r>
        <w:rPr>
          <w:sz w:val="22"/>
        </w:rPr>
        <w:t>The 43 anatomical features are derived from:</w:t>
      </w:r>
    </w:p>
    <w:p>
      <w:pPr>
        <w:pStyle w:val="ListBullet"/>
      </w:pPr>
      <w:r>
        <w:rPr>
          <w:sz w:val="22"/>
        </w:rPr>
        <w:t>Real fsaverage cortical parcellation (34 regions per hemisphere)</w:t>
      </w:r>
    </w:p>
    <w:p>
      <w:pPr>
        <w:pStyle w:val="ListBullet"/>
      </w:pPr>
      <w:r>
        <w:rPr>
          <w:sz w:val="22"/>
        </w:rPr>
        <w:t>Harvard-Oxford subcortical atlas (deep nuclei: thalamus, caudate, putamen, etc.)</w:t>
      </w:r>
    </w:p>
    <w:p>
      <w:pPr>
        <w:pStyle w:val="ListBullet"/>
      </w:pPr>
      <w:r>
        <w:rPr>
          <w:sz w:val="22"/>
        </w:rPr>
        <w:t>Volumetric ratios, atrophy indices, and asymmetry measures</w:t>
      </w:r>
    </w:p>
    <w:p>
      <w:pPr>
        <w:pStyle w:val="Heading2"/>
      </w:pPr>
      <w:r>
        <w:rPr>
          <w:color w:val="1F4E79"/>
        </w:rPr>
        <w:t>3.4 Computational Therapy Evaluation</w:t>
      </w:r>
    </w:p>
    <w:p>
      <w:r>
        <w:rPr>
          <w:sz w:val="22"/>
        </w:rPr>
        <w:t>The evaluation module provides computational assessment of therapeutic interventions on the reconstructed 3D brain. It performs spatial lesion analysis, simulates therapy delivery, and computes a multi-objective compatibility score.</w:t>
      </w:r>
    </w:p>
    <w:p>
      <w:r>
        <w:rPr>
          <w:b/>
          <w:sz w:val="22"/>
        </w:rPr>
        <w:t xml:space="preserve">Therapy modes: </w:t>
      </w:r>
      <w:r>
        <w:rPr>
          <w:sz w:val="22"/>
        </w:rPr>
        <w:t>Therapy modes:</w:t>
      </w:r>
    </w:p>
    <w:p>
      <w:pPr>
        <w:pStyle w:val="ListBullet"/>
      </w:pPr>
      <w:r>
        <w:rPr>
          <w:sz w:val="22"/>
        </w:rPr>
        <w:t>Lesion reversal — targeted reduction of lesion tissue</w:t>
      </w:r>
    </w:p>
    <w:p>
      <w:pPr>
        <w:pStyle w:val="ListBullet"/>
      </w:pPr>
      <w:r>
        <w:rPr>
          <w:sz w:val="22"/>
        </w:rPr>
        <w:t>Stimulation — neurostimulation of atrophied regions</w:t>
      </w:r>
    </w:p>
    <w:p>
      <w:pPr>
        <w:pStyle w:val="ListBullet"/>
      </w:pPr>
      <w:r>
        <w:rPr>
          <w:sz w:val="22"/>
        </w:rPr>
        <w:t>Regeneration — tissue regeneration with diffusion-based propagation</w:t>
      </w:r>
    </w:p>
    <w:p>
      <w:r>
        <w:rPr>
          <w:b/>
          <w:sz w:val="22"/>
        </w:rPr>
        <w:t xml:space="preserve">Compatibility scoring: </w:t>
      </w:r>
      <w:r>
        <w:rPr>
          <w:sz w:val="22"/>
        </w:rPr>
        <w:t>Compatibility scoring:</w:t>
      </w:r>
    </w:p>
    <w:p>
      <w:pPr>
        <w:pStyle w:val="ListBullet"/>
      </w:pPr>
      <w:r>
        <w:rPr>
          <w:sz w:val="22"/>
        </w:rPr>
        <w:t>Coverage (50% weight) — how well the therapy covers the target region</w:t>
      </w:r>
    </w:p>
    <w:p>
      <w:pPr>
        <w:pStyle w:val="ListBullet"/>
      </w:pPr>
      <w:r>
        <w:rPr>
          <w:sz w:val="22"/>
        </w:rPr>
        <w:t>Risk (30% weight) — proximity to healthy critical structures (minimum 5mm)</w:t>
      </w:r>
    </w:p>
    <w:p>
      <w:pPr>
        <w:pStyle w:val="ListBullet"/>
      </w:pPr>
      <w:r>
        <w:rPr>
          <w:sz w:val="22"/>
        </w:rPr>
        <w:t>Recovery potential (20% weight) — estimated tissue recovery based on therapy mode</w:t>
      </w:r>
    </w:p>
    <w:p>
      <w:pPr>
        <w:spacing w:before="120" w:after="120"/>
        <w:ind w:left="432"/>
      </w:pPr>
      <w:r>
        <w:rPr>
          <w:rFonts w:ascii="Courier New" w:hAnsi="Courier New"/>
          <w:color w:val="202020"/>
          <w:sz w:val="18"/>
        </w:rPr>
        <w:t>evaluation:</w:t>
        <w:br/>
        <w:t xml:space="preserve">  therapy:</w:t>
        <w:br/>
        <w:t xml:space="preserve">    target_mode: largest_region</w:t>
        <w:br/>
        <w:t xml:space="preserve">    radius_mm: 30.0</w:t>
        <w:br/>
        <w:t xml:space="preserve">    dose: 1.0                   # 0..1 intensity</w:t>
        <w:br/>
        <w:t xml:space="preserve">    mode: lesion_reversal       # stimulation | regeneration | lesion_reversal</w:t>
        <w:br/>
        <w:t xml:space="preserve">    kernel: gaussian</w:t>
        <w:br/>
        <w:t xml:space="preserve">    sigma_mm: 12.0</w:t>
        <w:br/>
        <w:t xml:space="preserve">  compatibility:</w:t>
        <w:br/>
        <w:t xml:space="preserve">    coverage_weight: 0.5</w:t>
        <w:br/>
        <w:t xml:space="preserve">    risk_weight: 0.3</w:t>
        <w:br/>
        <w:t xml:space="preserve">    recovery_weight: 0.2</w:t>
        <w:br/>
        <w:t xml:space="preserve">    risk_threshold_mm: 5.0</w:t>
      </w:r>
    </w:p>
    <w:p>
      <w:pPr>
        <w:ind w:left="432"/>
      </w:pPr>
      <w:r>
        <w:rPr>
          <w:i/>
          <w:color w:val="666666"/>
          <w:sz w:val="16"/>
        </w:rPr>
        <w:t>[YAML]</w:t>
      </w:r>
    </w:p>
    <w:p>
      <w:r>
        <w:br w:type="page"/>
      </w:r>
    </w:p>
    <w:p>
      <w:pPr>
        <w:pStyle w:val="Heading1"/>
      </w:pPr>
      <w:r>
        <w:rPr>
          <w:color w:val="1F4E79"/>
        </w:rPr>
        <w:t>4. NeuroCure Web Application</w:t>
      </w:r>
    </w:p>
    <w:p>
      <w:r>
        <w:rPr>
          <w:sz w:val="22"/>
        </w:rPr>
        <w:t>The NeuroCure web application is built with Streamlit and provides an interactive, multi-page interface for the complete diagnostic and therapeutic pipeline. The UI uses a dark clinical theme with blue accent colors and responsive layout.</w:t>
      </w:r>
    </w:p>
    <w:p>
      <w:pPr>
        <w:pStyle w:val="Heading2"/>
      </w:pPr>
      <w:r>
        <w:rPr>
          <w:color w:val="1F4E79"/>
        </w:rPr>
        <w:t>4.1 Upload &amp; Demo Brain (Page 1)</w:t>
      </w:r>
    </w:p>
    <w:p>
      <w:r>
        <w:rPr>
          <w:sz w:val="22"/>
        </w:rPr>
        <w:t>The Upload page provides two options for loading a brain MRI: file upload (NIfTI/DICOM) or a bundled demo brain. The demo brain is a real ICBM152 template with an embedded synthetic lesion, requiring no download.</w:t>
      </w:r>
    </w:p>
    <w:p>
      <w:pPr>
        <w:pStyle w:val="ListBullet"/>
      </w:pPr>
      <w:r>
        <w:rPr>
          <w:sz w:val="22"/>
        </w:rPr>
        <w:t>File upload supports NIfTI (.nii/.nii.gz) and DICOM (.dcm) formats, up to 500MB</w:t>
      </w:r>
    </w:p>
    <w:p>
      <w:pPr>
        <w:pStyle w:val="ListBullet"/>
      </w:pPr>
      <w:r>
        <w:rPr>
          <w:sz w:val="22"/>
        </w:rPr>
        <w:t>Demo brain loads the ICBM152 template (96×112×84 voxels, 2mm spacing) with a synthetic lesion</w:t>
      </w:r>
    </w:p>
    <w:p>
      <w:pPr>
        <w:pStyle w:val="ListBullet"/>
      </w:pPr>
      <w:r>
        <w:rPr>
          <w:sz w:val="22"/>
        </w:rPr>
        <w:t>Automatic pipeline trigger: loading a brain starts segmentation + reconstruction automatically</w:t>
      </w:r>
    </w:p>
    <w:p>
      <w:pPr>
        <w:pStyle w:val="ListBullet"/>
      </w:pPr>
      <w:r>
        <w:rPr>
          <w:sz w:val="22"/>
        </w:rPr>
        <w:t>Real-time progress indicator during pipeline execution</w:t>
      </w:r>
    </w:p>
    <w:p>
      <w:pPr>
        <w:pStyle w:val="Heading2"/>
      </w:pPr>
      <w:r>
        <w:rPr>
          <w:color w:val="1F4E79"/>
        </w:rPr>
        <w:t>4.2 3D Brain Reconstruction Viewer (Page 2)</w:t>
      </w:r>
    </w:p>
    <w:p>
      <w:r>
        <w:rPr>
          <w:sz w:val="22"/>
        </w:rPr>
        <w:t>The 3D Brain page displays the reconstructed brain as an interactive WebGL visualization powered by Plotly.js. The viewer shows per-tissue meshes with color-coded rendering.</w:t>
      </w:r>
    </w:p>
    <w:p>
      <w:pPr>
        <w:pStyle w:val="ListBullet"/>
      </w:pPr>
      <w:r>
        <w:rPr>
          <w:sz w:val="22"/>
        </w:rPr>
        <w:t>Interactive 3D rotation, zoom, and pan via mouse/touch</w:t>
      </w:r>
    </w:p>
    <w:p>
      <w:pPr>
        <w:pStyle w:val="ListBullet"/>
      </w:pPr>
      <w:r>
        <w:rPr>
          <w:sz w:val="22"/>
        </w:rPr>
        <w:t>Per-tissue color coding: gray matter (blue), white matter (light blue), CSF (cyan), lesion (red)</w:t>
      </w:r>
    </w:p>
    <w:p>
      <w:pPr>
        <w:pStyle w:val="ListBullet"/>
      </w:pPr>
      <w:r>
        <w:rPr>
          <w:sz w:val="22"/>
        </w:rPr>
        <w:t>Deep nuclei overlay: thalamus, caudate, putamen, globus pallidus, hippocampus, amygdala</w:t>
      </w:r>
    </w:p>
    <w:p>
      <w:pPr>
        <w:pStyle w:val="ListBullet"/>
      </w:pPr>
      <w:r>
        <w:rPr>
          <w:sz w:val="22"/>
        </w:rPr>
        <w:t>Mesh metrics panel: volume (mm³), surface area, atrophy ratios</w:t>
      </w:r>
    </w:p>
    <w:p>
      <w:pPr>
        <w:pStyle w:val="ListBullet"/>
      </w:pPr>
      <w:r>
        <w:rPr>
          <w:sz w:val="22"/>
        </w:rPr>
        <w:t>Cross-section viewer: axial, coronal, sagittal slices with tissue overlay</w:t>
      </w:r>
    </w:p>
    <w:p>
      <w:pPr>
        <w:pStyle w:val="Heading2"/>
      </w:pPr>
      <w:r>
        <w:rPr>
          <w:color w:val="1F4E79"/>
        </w:rPr>
        <w:t>4.3 Disease Prediction (Page 3)</w:t>
      </w:r>
    </w:p>
    <w:p>
      <w:r>
        <w:rPr>
          <w:sz w:val="22"/>
        </w:rPr>
        <w:t>The Prediction page runs the 36-disease ensemble MLP classifier on the reconstructed brain's anatomical features. Results include confidence scores and an evidence-based explanation of the top predictions.</w:t>
      </w:r>
    </w:p>
    <w:p>
      <w:pPr>
        <w:pStyle w:val="ListBullet"/>
      </w:pPr>
      <w:r>
        <w:rPr>
          <w:sz w:val="22"/>
        </w:rPr>
        <w:t>36-disease classification with confidence scores</w:t>
      </w:r>
    </w:p>
    <w:p>
      <w:pPr>
        <w:pStyle w:val="ListBullet"/>
      </w:pPr>
      <w:r>
        <w:rPr>
          <w:sz w:val="22"/>
        </w:rPr>
        <w:t>Evidence engine showing which anatomical features drove each prediction</w:t>
      </w:r>
    </w:p>
    <w:p>
      <w:pPr>
        <w:pStyle w:val="ListBullet"/>
      </w:pPr>
      <w:r>
        <w:rPr>
          <w:sz w:val="22"/>
        </w:rPr>
        <w:t>Top-5 differential diagnosis with probability bars</w:t>
      </w:r>
    </w:p>
    <w:p>
      <w:pPr>
        <w:pStyle w:val="ListBullet"/>
      </w:pPr>
      <w:r>
        <w:rPr>
          <w:sz w:val="22"/>
        </w:rPr>
        <w:t>Feature attribution visualization</w:t>
      </w:r>
    </w:p>
    <w:p>
      <w:pPr>
        <w:pStyle w:val="ListBullet"/>
      </w:pPr>
      <w:r>
        <w:rPr>
          <w:sz w:val="22"/>
        </w:rPr>
        <w:t>First-run auto-training if no pre-trained model weights exist</w:t>
      </w:r>
    </w:p>
    <w:p>
      <w:pPr>
        <w:pStyle w:val="Heading2"/>
      </w:pPr>
      <w:r>
        <w:rPr>
          <w:color w:val="1F4E79"/>
        </w:rPr>
        <w:t>4.4 Therapy Recommendation (Page 4)</w:t>
      </w:r>
    </w:p>
    <w:p>
      <w:r>
        <w:rPr>
          <w:sz w:val="22"/>
        </w:rPr>
        <w:t>The Therapy page recommends optimal therapeutic interventions based on the disease prediction and lesion analysis. It shows therapy impact zones on the 3D brain model.</w:t>
      </w:r>
    </w:p>
    <w:p>
      <w:pPr>
        <w:pStyle w:val="ListBullet"/>
      </w:pPr>
      <w:r>
        <w:rPr>
          <w:sz w:val="22"/>
        </w:rPr>
        <w:t>Therapy mode recommendation: lesion reversal, stimulation, or regeneration</w:t>
      </w:r>
    </w:p>
    <w:p>
      <w:pPr>
        <w:pStyle w:val="ListBullet"/>
      </w:pPr>
      <w:r>
        <w:rPr>
          <w:sz w:val="22"/>
        </w:rPr>
        <w:t>Impact zone visualization on the 3D brain model</w:t>
      </w:r>
    </w:p>
    <w:p>
      <w:pPr>
        <w:pStyle w:val="ListBullet"/>
      </w:pPr>
      <w:r>
        <w:rPr>
          <w:sz w:val="22"/>
        </w:rPr>
        <w:t>Compatibility score breakdown (coverage, risk, recovery)</w:t>
      </w:r>
    </w:p>
    <w:p>
      <w:pPr>
        <w:pStyle w:val="ListBullet"/>
      </w:pPr>
      <w:r>
        <w:rPr>
          <w:sz w:val="22"/>
        </w:rPr>
        <w:t>Spatial relationship to critical structures</w:t>
      </w:r>
    </w:p>
    <w:p>
      <w:pPr>
        <w:pStyle w:val="Heading2"/>
      </w:pPr>
      <w:r>
        <w:rPr>
          <w:color w:val="1F4E79"/>
        </w:rPr>
        <w:t>4.5 Live Cure Simulation (Page 5)</w:t>
      </w:r>
    </w:p>
    <w:p>
      <w:r>
        <w:rPr>
          <w:sz w:val="22"/>
        </w:rPr>
        <w:t>The Simulation page provides an animated 3D visualization of the therapy acting on the brain over time. Uses Three.js for high-performance WebGL rendering with play/pause/scrub controls.</w:t>
      </w:r>
    </w:p>
    <w:p>
      <w:pPr>
        <w:pStyle w:val="ListBullet"/>
      </w:pPr>
      <w:r>
        <w:rPr>
          <w:sz w:val="22"/>
        </w:rPr>
        <w:t>Animated 3D cure cascade showing therapy propagation</w:t>
      </w:r>
    </w:p>
    <w:p>
      <w:pPr>
        <w:pStyle w:val="ListBullet"/>
      </w:pPr>
      <w:r>
        <w:rPr>
          <w:sz w:val="22"/>
        </w:rPr>
        <w:t>Three.js WebGL rendering for smooth 60fps animation</w:t>
      </w:r>
    </w:p>
    <w:p>
      <w:pPr>
        <w:pStyle w:val="ListBullet"/>
      </w:pPr>
      <w:r>
        <w:rPr>
          <w:sz w:val="22"/>
        </w:rPr>
        <w:t>Play/pause/speed controls for the simulation timeline</w:t>
      </w:r>
    </w:p>
    <w:p>
      <w:pPr>
        <w:pStyle w:val="ListBullet"/>
      </w:pPr>
      <w:r>
        <w:rPr>
          <w:sz w:val="22"/>
        </w:rPr>
        <w:t>Before/after comparison view</w:t>
      </w:r>
    </w:p>
    <w:p>
      <w:pPr>
        <w:pStyle w:val="ListBullet"/>
      </w:pPr>
      <w:r>
        <w:rPr>
          <w:sz w:val="22"/>
        </w:rPr>
        <w:t>Real-time tissue change metrics during simulation</w:t>
      </w:r>
    </w:p>
    <w:p>
      <w:pPr>
        <w:pStyle w:val="Heading2"/>
      </w:pPr>
      <w:r>
        <w:rPr>
          <w:color w:val="1F4E79"/>
        </w:rPr>
        <w:t>4.6 Report Generation (Page 6)</w:t>
      </w:r>
    </w:p>
    <w:p>
      <w:r>
        <w:rPr>
          <w:sz w:val="22"/>
        </w:rPr>
        <w:t>The Report page generates a comprehensive clinical report summarizing the entire pipeline from upload to therapy evaluation.</w:t>
      </w:r>
    </w:p>
    <w:p>
      <w:pPr>
        <w:pStyle w:val="ListBullet"/>
      </w:pPr>
      <w:r>
        <w:rPr>
          <w:sz w:val="22"/>
        </w:rPr>
        <w:t>Summary of brain volume, tissue metrics, and atrophy indices</w:t>
      </w:r>
    </w:p>
    <w:p>
      <w:pPr>
        <w:pStyle w:val="ListBullet"/>
      </w:pPr>
      <w:r>
        <w:rPr>
          <w:sz w:val="22"/>
        </w:rPr>
        <w:t>Disease prediction results with confidence scores</w:t>
      </w:r>
    </w:p>
    <w:p>
      <w:pPr>
        <w:pStyle w:val="ListBullet"/>
      </w:pPr>
      <w:r>
        <w:rPr>
          <w:sz w:val="22"/>
        </w:rPr>
        <w:t>Therapy recommendation with compatibility score</w:t>
      </w:r>
    </w:p>
    <w:p>
      <w:pPr>
        <w:pStyle w:val="ListBullet"/>
      </w:pPr>
      <w:r>
        <w:rPr>
          <w:sz w:val="22"/>
        </w:rPr>
        <w:t>Downloadable report in JSON and HTML formats</w:t>
      </w:r>
    </w:p>
    <w:p>
      <w:pPr>
        <w:pStyle w:val="Heading2"/>
      </w:pPr>
      <w:r>
        <w:rPr>
          <w:color w:val="1F4E79"/>
        </w:rPr>
        <w:t>4.7 Model Evaluation Dashboard (Page 7)</w:t>
      </w:r>
    </w:p>
    <w:p>
      <w:r>
        <w:rPr>
          <w:sz w:val="22"/>
        </w:rPr>
        <w:t>The Model Evaluation page provides a comprehensive statistical assessment of the classification model's performance on a held-out evaluation set.</w:t>
      </w:r>
    </w:p>
    <w:p>
      <w:pPr>
        <w:pStyle w:val="ListBullet"/>
      </w:pPr>
      <w:r>
        <w:rPr>
          <w:sz w:val="22"/>
        </w:rPr>
        <w:t>Confusion matrix with per-class precision/recall/F1/specificity</w:t>
      </w:r>
    </w:p>
    <w:p>
      <w:pPr>
        <w:pStyle w:val="ListBullet"/>
      </w:pPr>
      <w:r>
        <w:rPr>
          <w:sz w:val="22"/>
        </w:rPr>
        <w:t>Aggregate metrics: macro/weighted averages, Cohen's kappa, MCC, balanced accuracy</w:t>
      </w:r>
    </w:p>
    <w:p>
      <w:pPr>
        <w:pStyle w:val="ListBullet"/>
      </w:pPr>
      <w:r>
        <w:rPr>
          <w:sz w:val="22"/>
        </w:rPr>
        <w:t>F-test (one-way ANOVA) for feature discriminative power</w:t>
      </w:r>
    </w:p>
    <w:p>
      <w:pPr>
        <w:pStyle w:val="ListBullet"/>
      </w:pPr>
      <w:r>
        <w:rPr>
          <w:sz w:val="22"/>
        </w:rPr>
        <w:t>Chi-square test for prediction-categorical feature dependence</w:t>
      </w:r>
    </w:p>
    <w:p>
      <w:pPr>
        <w:pStyle w:val="ListBullet"/>
      </w:pPr>
      <w:r>
        <w:rPr>
          <w:sz w:val="22"/>
        </w:rPr>
        <w:t>ROC curves (one-vs-rest) with macro/weighted AUC</w:t>
      </w:r>
    </w:p>
    <w:p>
      <w:pPr>
        <w:pStyle w:val="ListBullet"/>
      </w:pPr>
      <w:r>
        <w:rPr>
          <w:sz w:val="22"/>
        </w:rPr>
        <w:t>Precision-recall curves and calibration plots</w:t>
      </w:r>
    </w:p>
    <w:p>
      <w:pPr>
        <w:pStyle w:val="ListBullet"/>
      </w:pPr>
      <w:r>
        <w:rPr>
          <w:sz w:val="22"/>
        </w:rPr>
        <w:t>Statistical significance testing for model comparison</w:t>
      </w:r>
    </w:p>
    <w:p>
      <w:r>
        <w:br w:type="page"/>
      </w:r>
    </w:p>
    <w:p>
      <w:pPr>
        <w:pStyle w:val="Heading1"/>
      </w:pPr>
      <w:r>
        <w:rPr>
          <w:color w:val="1F4E79"/>
        </w:rPr>
        <w:t>5. Technical Specifications</w:t>
      </w:r>
    </w:p>
    <w:tbl>
      <w:tblPr>
        <w:tblStyle w:val="TableGrid"/>
        <w:tblW w:type="auto" w:w="0"/>
        <w:tblLook w:firstColumn="1" w:firstRow="1" w:lastColumn="0" w:lastRow="0" w:noHBand="0" w:noVBand="1" w:val="04A0"/>
      </w:tblPr>
      <w:tblGrid>
        <w:gridCol w:w="4320"/>
        <w:gridCol w:w="4320"/>
      </w:tblGrid>
      <w:tr>
        <w:tc>
          <w:tcPr>
            <w:tcW w:type="dxa" w:w="3600"/>
            <w:shd w:fill="1F4E79" w:val="clear"/>
          </w:tcPr>
          <w:p>
            <w:pPr>
              <w:jc w:val="center"/>
            </w:pPr>
            <w:r>
              <w:rPr>
                <w:b/>
                <w:color w:val="FFFFFF"/>
                <w:sz w:val="20"/>
              </w:rPr>
              <w:t>Specification</w:t>
            </w:r>
          </w:p>
        </w:tc>
        <w:tc>
          <w:tcPr>
            <w:tcW w:type="dxa" w:w="5760"/>
            <w:shd w:fill="1F4E79" w:val="clear"/>
          </w:tcPr>
          <w:p>
            <w:pPr>
              <w:jc w:val="center"/>
            </w:pPr>
            <w:r>
              <w:rPr>
                <w:b/>
                <w:color w:val="FFFFFF"/>
                <w:sz w:val="20"/>
              </w:rPr>
              <w:t>Value</w:t>
            </w:r>
          </w:p>
        </w:tc>
      </w:tr>
      <w:tr>
        <w:tc>
          <w:tcPr>
            <w:tcW w:type="dxa" w:w="3600"/>
          </w:tcPr>
          <w:p>
            <w:r>
              <w:rPr>
                <w:sz w:val="20"/>
              </w:rPr>
              <w:t>Python version</w:t>
            </w:r>
          </w:p>
        </w:tc>
        <w:tc>
          <w:tcPr>
            <w:tcW w:type="dxa" w:w="5760"/>
          </w:tcPr>
          <w:p>
            <w:r>
              <w:rPr>
                <w:sz w:val="20"/>
              </w:rPr>
              <w:t>≥ 3.10</w:t>
            </w:r>
          </w:p>
        </w:tc>
      </w:tr>
      <w:tr>
        <w:tc>
          <w:tcPr>
            <w:tcW w:type="dxa" w:w="3600"/>
          </w:tcPr>
          <w:p>
            <w:r>
              <w:rPr>
                <w:sz w:val="20"/>
              </w:rPr>
              <w:t>Deep learning framework</w:t>
            </w:r>
          </w:p>
        </w:tc>
        <w:tc>
          <w:tcPr>
            <w:tcW w:type="dxa" w:w="5760"/>
          </w:tcPr>
          <w:p>
            <w:r>
              <w:rPr>
                <w:sz w:val="20"/>
              </w:rPr>
              <w:t>PyTorch (CPU-only for deployment)</w:t>
            </w:r>
          </w:p>
        </w:tc>
      </w:tr>
      <w:tr>
        <w:tc>
          <w:tcPr>
            <w:tcW w:type="dxa" w:w="3600"/>
          </w:tcPr>
          <w:p>
            <w:r>
              <w:rPr>
                <w:sz w:val="20"/>
              </w:rPr>
              <w:t>Segmentation model</w:t>
            </w:r>
          </w:p>
        </w:tc>
        <w:tc>
          <w:tcPr>
            <w:tcW w:type="dxa" w:w="5760"/>
          </w:tcPr>
          <w:p>
            <w:r>
              <w:rPr>
                <w:sz w:val="20"/>
              </w:rPr>
              <w:t>SAM ViT-B (Segment Anything Model)</w:t>
            </w:r>
          </w:p>
        </w:tc>
      </w:tr>
      <w:tr>
        <w:tc>
          <w:tcPr>
            <w:tcW w:type="dxa" w:w="3600"/>
          </w:tcPr>
          <w:p>
            <w:r>
              <w:rPr>
                <w:sz w:val="20"/>
              </w:rPr>
              <w:t>Classifier</w:t>
            </w:r>
          </w:p>
        </w:tc>
        <w:tc>
          <w:tcPr>
            <w:tcW w:type="dxa" w:w="5760"/>
          </w:tcPr>
          <w:p>
            <w:r>
              <w:rPr>
                <w:sz w:val="20"/>
              </w:rPr>
              <w:t>3-member ensemble MLP with self-attention</w:t>
            </w:r>
          </w:p>
        </w:tc>
      </w:tr>
      <w:tr>
        <w:tc>
          <w:tcPr>
            <w:tcW w:type="dxa" w:w="3600"/>
          </w:tcPr>
          <w:p>
            <w:r>
              <w:rPr>
                <w:sz w:val="20"/>
              </w:rPr>
              <w:t>Disease classes</w:t>
            </w:r>
          </w:p>
        </w:tc>
        <w:tc>
          <w:tcPr>
            <w:tcW w:type="dxa" w:w="5760"/>
          </w:tcPr>
          <w:p>
            <w:r>
              <w:rPr>
                <w:sz w:val="20"/>
              </w:rPr>
              <w:t>36 neurodegenerative, vascular, infectious, neoplastic</w:t>
            </w:r>
          </w:p>
        </w:tc>
      </w:tr>
      <w:tr>
        <w:tc>
          <w:tcPr>
            <w:tcW w:type="dxa" w:w="3600"/>
          </w:tcPr>
          <w:p>
            <w:r>
              <w:rPr>
                <w:sz w:val="20"/>
              </w:rPr>
              <w:t>Anatomical features</w:t>
            </w:r>
          </w:p>
        </w:tc>
        <w:tc>
          <w:tcPr>
            <w:tcW w:type="dxa" w:w="5760"/>
          </w:tcPr>
          <w:p>
            <w:r>
              <w:rPr>
                <w:sz w:val="20"/>
              </w:rPr>
              <w:t>43 (fsaverage cortex + Harvard-Oxford deep nuclei)</w:t>
            </w:r>
          </w:p>
        </w:tc>
      </w:tr>
      <w:tr>
        <w:tc>
          <w:tcPr>
            <w:tcW w:type="dxa" w:w="3600"/>
          </w:tcPr>
          <w:p>
            <w:r>
              <w:rPr>
                <w:sz w:val="20"/>
              </w:rPr>
              <w:t>Reconstruction</w:t>
            </w:r>
          </w:p>
        </w:tc>
        <w:tc>
          <w:tcPr>
            <w:tcW w:type="dxa" w:w="5760"/>
          </w:tcPr>
          <w:p>
            <w:r>
              <w:rPr>
                <w:sz w:val="20"/>
              </w:rPr>
              <w:t>Marching Cubes with Laplacian smoothing</w:t>
            </w:r>
          </w:p>
        </w:tc>
      </w:tr>
      <w:tr>
        <w:tc>
          <w:tcPr>
            <w:tcW w:type="dxa" w:w="3600"/>
          </w:tcPr>
          <w:p>
            <w:r>
              <w:rPr>
                <w:sz w:val="20"/>
              </w:rPr>
              <w:t>Target voxel spacing</w:t>
            </w:r>
          </w:p>
        </w:tc>
        <w:tc>
          <w:tcPr>
            <w:tcW w:type="dxa" w:w="5760"/>
          </w:tcPr>
          <w:p>
            <w:r>
              <w:rPr>
                <w:sz w:val="20"/>
              </w:rPr>
              <w:t>1×1×1 mm isotropic</w:t>
            </w:r>
          </w:p>
        </w:tc>
      </w:tr>
      <w:tr>
        <w:tc>
          <w:tcPr>
            <w:tcW w:type="dxa" w:w="3600"/>
          </w:tcPr>
          <w:p>
            <w:r>
              <w:rPr>
                <w:sz w:val="20"/>
              </w:rPr>
              <w:t>Web framework</w:t>
            </w:r>
          </w:p>
        </w:tc>
        <w:tc>
          <w:tcPr>
            <w:tcW w:type="dxa" w:w="5760"/>
          </w:tcPr>
          <w:p>
            <w:r>
              <w:rPr>
                <w:sz w:val="20"/>
              </w:rPr>
              <w:t>Streamlit (multi-page app)</w:t>
            </w:r>
          </w:p>
        </w:tc>
      </w:tr>
      <w:tr>
        <w:tc>
          <w:tcPr>
            <w:tcW w:type="dxa" w:w="3600"/>
          </w:tcPr>
          <w:p>
            <w:r>
              <w:rPr>
                <w:sz w:val="20"/>
              </w:rPr>
              <w:t>3D visualization</w:t>
            </w:r>
          </w:p>
        </w:tc>
        <w:tc>
          <w:tcPr>
            <w:tcW w:type="dxa" w:w="5760"/>
          </w:tcPr>
          <w:p>
            <w:r>
              <w:rPr>
                <w:sz w:val="20"/>
              </w:rPr>
              <w:t>Plotly.js + Three.js (WebGL)</w:t>
            </w:r>
          </w:p>
        </w:tc>
      </w:tr>
      <w:tr>
        <w:tc>
          <w:tcPr>
            <w:tcW w:type="dxa" w:w="3600"/>
          </w:tcPr>
          <w:p>
            <w:r>
              <w:rPr>
                <w:sz w:val="20"/>
              </w:rPr>
              <w:t>Test suite</w:t>
            </w:r>
          </w:p>
        </w:tc>
        <w:tc>
          <w:tcPr>
            <w:tcW w:type="dxa" w:w="5760"/>
          </w:tcPr>
          <w:p>
            <w:r>
              <w:rPr>
                <w:sz w:val="20"/>
              </w:rPr>
              <w:t>134 tests, all passing</w:t>
            </w:r>
          </w:p>
        </w:tc>
      </w:tr>
      <w:tr>
        <w:tc>
          <w:tcPr>
            <w:tcW w:type="dxa" w:w="3600"/>
          </w:tcPr>
          <w:p>
            <w:r>
              <w:rPr>
                <w:sz w:val="20"/>
              </w:rPr>
              <w:t>Total lines of code</w:t>
            </w:r>
          </w:p>
        </w:tc>
        <w:tc>
          <w:tcPr>
            <w:tcW w:type="dxa" w:w="5760"/>
          </w:tcPr>
          <w:p>
            <w:r>
              <w:rPr>
                <w:sz w:val="20"/>
              </w:rPr>
              <w:t>~12,900</w:t>
            </w:r>
          </w:p>
        </w:tc>
      </w:tr>
      <w:tr>
        <w:tc>
          <w:tcPr>
            <w:tcW w:type="dxa" w:w="3600"/>
          </w:tcPr>
          <w:p>
            <w:r>
              <w:rPr>
                <w:sz w:val="20"/>
              </w:rPr>
              <w:t>Config format</w:t>
            </w:r>
          </w:p>
        </w:tc>
        <w:tc>
          <w:tcPr>
            <w:tcW w:type="dxa" w:w="5760"/>
          </w:tcPr>
          <w:p>
            <w:r>
              <w:rPr>
                <w:sz w:val="20"/>
              </w:rPr>
              <w:t>YAML (hierarchical, stage-specific)</w:t>
            </w:r>
          </w:p>
        </w:tc>
      </w:tr>
      <w:tr>
        <w:tc>
          <w:tcPr>
            <w:tcW w:type="dxa" w:w="3600"/>
          </w:tcPr>
          <w:p>
            <w:r>
              <w:rPr>
                <w:sz w:val="20"/>
              </w:rPr>
              <w:t>Package manager</w:t>
            </w:r>
          </w:p>
        </w:tc>
        <w:tc>
          <w:tcPr>
            <w:tcW w:type="dxa" w:w="5760"/>
          </w:tcPr>
          <w:p>
            <w:r>
              <w:rPr>
                <w:sz w:val="20"/>
              </w:rPr>
              <w:t>uv (recommended) / pip</w:t>
            </w:r>
          </w:p>
        </w:tc>
      </w:tr>
    </w:tbl>
    <w:p>
      <w:r>
        <w:br w:type="page"/>
      </w:r>
    </w:p>
    <w:p>
      <w:pPr>
        <w:pStyle w:val="Heading1"/>
      </w:pPr>
      <w:r>
        <w:rPr>
          <w:color w:val="1F4E79"/>
        </w:rPr>
        <w:t>6. Key Algorithms &amp; Methods</w:t>
      </w:r>
    </w:p>
    <w:p>
      <w:pPr>
        <w:pStyle w:val="Heading2"/>
      </w:pPr>
      <w:r>
        <w:rPr>
          <w:color w:val="1F4E79"/>
        </w:rPr>
        <w:t>6.1 SAM Grid Prompting</w:t>
      </w:r>
    </w:p>
    <w:p>
      <w:r>
        <w:rPr>
          <w:sz w:val="22"/>
        </w:rPr>
        <w:t>Automatic prompt generation for SAM segmentation uses a uniform grid strategy. Grid points are placed at regular intervals (64px spacing) across each axial slice, with a maximum of 12 points per slice. Bounding boxes are derived from intensity gradient analysis to focus SAM's attention on brain regions.</w:t>
      </w:r>
    </w:p>
    <w:p>
      <w:pPr>
        <w:spacing w:before="120" w:after="120"/>
        <w:ind w:left="432"/>
      </w:pPr>
      <w:r>
        <w:rPr>
          <w:rFonts w:ascii="Courier New" w:hAnsi="Courier New"/>
          <w:color w:val="202020"/>
          <w:sz w:val="18"/>
        </w:rPr>
        <w:t># Grid prompting strategy</w:t>
        <w:br/>
        <w:t>grid_spacing = 64        # pixels between grid points</w:t>
        <w:br/>
        <w:t>max_points = 12          # maximum prompts per slice</w:t>
        <w:br/>
        <w:t>use_bbox = true          # use bounding box prompts</w:t>
        <w:br/>
        <w:t>bbox_from = "intensity"  # derive bbox from intensity gradient</w:t>
      </w:r>
    </w:p>
    <w:p>
      <w:pPr>
        <w:ind w:left="432"/>
      </w:pPr>
      <w:r>
        <w:rPr>
          <w:i/>
          <w:color w:val="666666"/>
          <w:sz w:val="16"/>
        </w:rPr>
        <w:t>[Config]</w:t>
      </w:r>
    </w:p>
    <w:p>
      <w:pPr>
        <w:pStyle w:val="Heading2"/>
      </w:pPr>
      <w:r>
        <w:rPr>
          <w:color w:val="1F4E79"/>
        </w:rPr>
        <w:t>6.2 Intensity-Ranked Label Assignment</w:t>
      </w:r>
    </w:p>
    <w:p>
      <w:r>
        <w:rPr>
          <w:sz w:val="22"/>
        </w:rPr>
        <w:t>SAM produces unlabeled binary masks. The system assigns tissue labels using intensity ranking: masks are sorted by their mean intensity within the original MRI volume, then mapped to tissue classes in order (CSF → gray matter → white matter → lesion). This approach leverages the known intensity ordering of brain tissues in T1-weighted MRI.</w:t>
      </w:r>
    </w:p>
    <w:p>
      <w:pPr>
        <w:pStyle w:val="Heading2"/>
      </w:pPr>
      <w:r>
        <w:rPr>
          <w:color w:val="1F4E79"/>
        </w:rPr>
        <w:t>6.3 Marching Cubes Isosurface Extraction</w:t>
      </w:r>
    </w:p>
    <w:p>
      <w:r>
        <w:rPr>
          <w:sz w:val="22"/>
        </w:rPr>
        <w:t>3D mesh generation uses the Marching Cubes algorithm at level 0.5 to extract the isosurface from each tissue label's volumetric mask. The algorithm iterates over all voxels, determines the intersection pattern of the isosurface with each voxel cube, and generates triangular faces accordingly. Post-processing applies 3 iterations of Laplacian smoothing (λ=0.5) to reduce staircase artifacts.</w:t>
      </w:r>
    </w:p>
    <w:p>
      <w:pPr>
        <w:pStyle w:val="Heading2"/>
      </w:pPr>
      <w:r>
        <w:rPr>
          <w:color w:val="1F4E79"/>
        </w:rPr>
        <w:t>6.4 Gaussian Therapy Kernel</w:t>
      </w:r>
    </w:p>
    <w:p>
      <w:r>
        <w:rPr>
          <w:sz w:val="22"/>
        </w:rPr>
        <w:t>Therapy simulation applies a Gaussian kernel centered on the target region (typically the largest lesion cluster). The kernel has a configurable radius (30mm) and standard deviation (12mm), modeling the spatial falloff of therapeutic effect. The therapy propagates through the tissue via a diffusion process over 10 time steps.</w:t>
      </w:r>
    </w:p>
    <w:p>
      <w:pPr>
        <w:pStyle w:val="Heading2"/>
      </w:pPr>
      <w:r>
        <w:rPr>
          <w:color w:val="1F4E79"/>
        </w:rPr>
        <w:t>6.5 Ensemble MLP with Self-Attention</w:t>
      </w:r>
    </w:p>
    <w:p>
      <w:r>
        <w:rPr>
          <w:sz w:val="22"/>
        </w:rPr>
        <w:t>The 36-disease classifier uses 3 independent MLPs, each with a self-attention layer over the 43 anatomical features. The attention mechanism learns which features are most discriminative for each disease class. Ensemble predictions are averaged, reducing variance and improving calibration.</w:t>
      </w:r>
    </w:p>
    <w:p>
      <w:pPr>
        <w:pStyle w:val="Heading2"/>
      </w:pPr>
      <w:r>
        <w:rPr>
          <w:color w:val="1F4E79"/>
        </w:rPr>
        <w:t>6.6 Test-Time Adaptation (TTA)</w:t>
      </w:r>
    </w:p>
    <w:p>
      <w:r>
        <w:rPr>
          <w:sz w:val="22"/>
        </w:rPr>
        <w:t>Optional TTA adapts SAM's IoU token parameters at inference time using three consistency signals: prediction entropy (lower = more confident), IoU uncertainty (disagreement between predicted and actual IoU), and dual-scale consistency (agreement between full-resolution and downsampled predictions). Only 3 adaptation steps are used with a very low learning rate (1e-5) and EMA decay (0.999).</w:t>
      </w:r>
    </w:p>
    <w:p>
      <w:r>
        <w:br w:type="page"/>
      </w:r>
    </w:p>
    <w:p>
      <w:pPr>
        <w:pStyle w:val="Heading1"/>
      </w:pPr>
      <w:r>
        <w:rPr>
          <w:color w:val="1F4E79"/>
        </w:rPr>
        <w:t>7. Data Assets &amp; Anatomical Atlases</w:t>
      </w:r>
    </w:p>
    <w:p>
      <w:pPr>
        <w:pStyle w:val="Heading2"/>
      </w:pPr>
      <w:r>
        <w:rPr>
          <w:color w:val="1F4E79"/>
        </w:rPr>
        <w:t>7.1 ICBM152 Brain Template</w:t>
      </w:r>
    </w:p>
    <w:p>
      <w:r>
        <w:rPr>
          <w:sz w:val="22"/>
        </w:rPr>
        <w:t>The bundled demo brain is the ICBM152 nonlinear asymmetric template (version 2009a), a widely-used standard brain in neuroimaging research. The template is stored as a compressed NIfTI file with shape 96×112×84 voxels at 2mm isotropic spacing. A synthetic lesion is embedded in the white matter to demonstrate the full pipeline.</w:t>
      </w:r>
    </w:p>
    <w:p>
      <w:pPr>
        <w:pStyle w:val="Heading2"/>
      </w:pPr>
      <w:r>
        <w:rPr>
          <w:color w:val="1F4E79"/>
        </w:rPr>
        <w:t>7.2 fsaverage Cortical Parcellation</w:t>
      </w:r>
    </w:p>
    <w:p>
      <w:r>
        <w:rPr>
          <w:sz w:val="22"/>
        </w:rPr>
        <w:t>The fsaverage cortical surface from FreeSurfer provides 34 anatomical regions per hemisphere (68 total). Each region contributes cortical thickness, volume, surface area, mean curvature, and sulcal depth features, forming the basis of the 43-feature input to the disease classifier.</w:t>
      </w:r>
    </w:p>
    <w:p>
      <w:pPr>
        <w:pStyle w:val="Heading2"/>
      </w:pPr>
      <w:r>
        <w:rPr>
          <w:color w:val="1F4E79"/>
        </w:rPr>
        <w:t>7.3 Harvard-Oxford Subcortical Atlas</w:t>
      </w:r>
    </w:p>
    <w:p>
      <w:r>
        <w:rPr>
          <w:sz w:val="22"/>
        </w:rPr>
        <w:t>The Harvard-Oxford atlas provides probabilistic maps of deep brain structures: thalamus, caudate, putamen, globus pallidus, hippocampus, amygdala, nucleus accumbens, and brainstem. These structures are rendered as colored overlays in the 3D visualization and contribute volumetric features to the classifier.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20"/>
              </w:rPr>
              <w:t>Atlas</w:t>
            </w:r>
          </w:p>
        </w:tc>
        <w:tc>
          <w:tcPr>
            <w:tcW w:type="dxa" w:w="2160"/>
            <w:shd w:fill="1F4E79" w:val="clear"/>
          </w:tcPr>
          <w:p>
            <w:pPr>
              <w:jc w:val="center"/>
            </w:pPr>
            <w:r>
              <w:rPr>
                <w:b/>
                <w:color w:val="FFFFFF"/>
                <w:sz w:val="20"/>
              </w:rPr>
              <w:t>Regions</w:t>
            </w:r>
          </w:p>
        </w:tc>
        <w:tc>
          <w:tcPr>
            <w:tcW w:type="dxa" w:w="3600"/>
            <w:shd w:fill="1F4E79" w:val="clear"/>
          </w:tcPr>
          <w:p>
            <w:pPr>
              <w:jc w:val="center"/>
            </w:pPr>
            <w:r>
              <w:rPr>
                <w:b/>
                <w:color w:val="FFFFFF"/>
                <w:sz w:val="20"/>
              </w:rPr>
              <w:t>Features Extracted</w:t>
            </w:r>
          </w:p>
        </w:tc>
        <w:tc>
          <w:tcPr>
            <w:tcW w:type="dxa" w:w="2160"/>
            <w:shd w:fill="1F4E79" w:val="clear"/>
          </w:tcPr>
          <w:p>
            <w:pPr>
              <w:jc w:val="center"/>
            </w:pPr>
            <w:r>
              <w:rPr>
                <w:b/>
                <w:color w:val="FFFFFF"/>
                <w:sz w:val="20"/>
              </w:rPr>
              <w:t>Visualization</w:t>
            </w:r>
          </w:p>
        </w:tc>
      </w:tr>
      <w:tr>
        <w:tc>
          <w:tcPr>
            <w:tcW w:type="dxa" w:w="2160"/>
          </w:tcPr>
          <w:p>
            <w:r>
              <w:rPr>
                <w:sz w:val="20"/>
              </w:rPr>
              <w:t>fsaverage cortex</w:t>
            </w:r>
          </w:p>
        </w:tc>
        <w:tc>
          <w:tcPr>
            <w:tcW w:type="dxa" w:w="2160"/>
          </w:tcPr>
          <w:p>
            <w:r>
              <w:rPr>
                <w:sz w:val="20"/>
              </w:rPr>
              <w:t>68 (34 per hemisphere)</w:t>
            </w:r>
          </w:p>
        </w:tc>
        <w:tc>
          <w:tcPr>
            <w:tcW w:type="dxa" w:w="3600"/>
          </w:tcPr>
          <w:p>
            <w:r>
              <w:rPr>
                <w:sz w:val="20"/>
              </w:rPr>
              <w:t>Thickness, volume, area, curvature, depth</w:t>
            </w:r>
          </w:p>
        </w:tc>
        <w:tc>
          <w:tcPr>
            <w:tcW w:type="dxa" w:w="2160"/>
          </w:tcPr>
          <w:p>
            <w:r>
              <w:rPr>
                <w:sz w:val="20"/>
              </w:rPr>
              <w:t>Surface mesh overlay</w:t>
            </w:r>
          </w:p>
        </w:tc>
      </w:tr>
      <w:tr>
        <w:tc>
          <w:tcPr>
            <w:tcW w:type="dxa" w:w="2160"/>
          </w:tcPr>
          <w:p>
            <w:r>
              <w:rPr>
                <w:sz w:val="20"/>
              </w:rPr>
              <w:t>Harvard-Oxford</w:t>
            </w:r>
          </w:p>
        </w:tc>
        <w:tc>
          <w:tcPr>
            <w:tcW w:type="dxa" w:w="2160"/>
          </w:tcPr>
          <w:p>
            <w:r>
              <w:rPr>
                <w:sz w:val="20"/>
              </w:rPr>
              <w:t>8 deep nuclei</w:t>
            </w:r>
          </w:p>
        </w:tc>
        <w:tc>
          <w:tcPr>
            <w:tcW w:type="dxa" w:w="3600"/>
          </w:tcPr>
          <w:p>
            <w:r>
              <w:rPr>
                <w:sz w:val="20"/>
              </w:rPr>
              <w:t>Volume, asymmetry, atrophy ratio</w:t>
            </w:r>
          </w:p>
        </w:tc>
        <w:tc>
          <w:tcPr>
            <w:tcW w:type="dxa" w:w="2160"/>
          </w:tcPr>
          <w:p>
            <w:r>
              <w:rPr>
                <w:sz w:val="20"/>
              </w:rPr>
              <w:t>Colored 3D blobs</w:t>
            </w:r>
          </w:p>
        </w:tc>
      </w:tr>
      <w:tr>
        <w:tc>
          <w:tcPr>
            <w:tcW w:type="dxa" w:w="2160"/>
          </w:tcPr>
          <w:p>
            <w:r>
              <w:rPr>
                <w:sz w:val="20"/>
              </w:rPr>
              <w:t>ICBM152 template</w:t>
            </w:r>
          </w:p>
        </w:tc>
        <w:tc>
          <w:tcPr>
            <w:tcW w:type="dxa" w:w="2160"/>
          </w:tcPr>
          <w:p>
            <w:r>
              <w:rPr>
                <w:sz w:val="20"/>
              </w:rPr>
              <w:t>Whole brain</w:t>
            </w:r>
          </w:p>
        </w:tc>
        <w:tc>
          <w:tcPr>
            <w:tcW w:type="dxa" w:w="3600"/>
          </w:tcPr>
          <w:p>
            <w:r>
              <w:rPr>
                <w:sz w:val="20"/>
              </w:rPr>
              <w:t>Tissue segmentation (GM/WM/CSF/lesion)</w:t>
            </w:r>
          </w:p>
        </w:tc>
        <w:tc>
          <w:tcPr>
            <w:tcW w:type="dxa" w:w="2160"/>
          </w:tcPr>
          <w:p>
            <w:r>
              <w:rPr>
                <w:sz w:val="20"/>
              </w:rPr>
              <w:t>Per-tissue 3D mesh</w:t>
            </w:r>
          </w:p>
        </w:tc>
      </w:tr>
    </w:tbl>
    <w:p>
      <w:r>
        <w:br w:type="page"/>
      </w:r>
    </w:p>
    <w:p>
      <w:pPr>
        <w:pStyle w:val="Heading1"/>
      </w:pPr>
      <w:r>
        <w:rPr>
          <w:color w:val="1F4E79"/>
        </w:rPr>
        <w:t>8. Testing &amp; Quality Assurance</w:t>
      </w:r>
    </w:p>
    <w:p>
      <w:r>
        <w:rPr>
          <w:sz w:val="22"/>
        </w:rPr>
        <w:t>The project maintains a comprehensive test suite of 134 tests covering all pipeline modules. All tests pass in the current build.</w:t>
      </w:r>
    </w:p>
    <w:tbl>
      <w:tblPr>
        <w:tblStyle w:val="TableGrid"/>
        <w:tblW w:type="auto" w:w="0"/>
        <w:tblLook w:firstColumn="1" w:firstRow="1" w:lastColumn="0" w:lastRow="0" w:noHBand="0" w:noVBand="1" w:val="04A0"/>
      </w:tblPr>
      <w:tblGrid>
        <w:gridCol w:w="2880"/>
        <w:gridCol w:w="2880"/>
        <w:gridCol w:w="2880"/>
      </w:tblGrid>
      <w:tr>
        <w:tc>
          <w:tcPr>
            <w:tcW w:type="dxa" w:w="2160"/>
            <w:shd w:fill="1F4E79" w:val="clear"/>
          </w:tcPr>
          <w:p>
            <w:pPr>
              <w:jc w:val="center"/>
            </w:pPr>
            <w:r>
              <w:rPr>
                <w:b/>
                <w:color w:val="FFFFFF"/>
                <w:sz w:val="20"/>
              </w:rPr>
              <w:t>Test Category</w:t>
            </w:r>
          </w:p>
        </w:tc>
        <w:tc>
          <w:tcPr>
            <w:tcW w:type="dxa" w:w="4320"/>
            <w:shd w:fill="1F4E79" w:val="clear"/>
          </w:tcPr>
          <w:p>
            <w:pPr>
              <w:jc w:val="center"/>
            </w:pPr>
            <w:r>
              <w:rPr>
                <w:b/>
                <w:color w:val="FFFFFF"/>
                <w:sz w:val="20"/>
              </w:rPr>
              <w:t>Module Tested</w:t>
            </w:r>
          </w:p>
        </w:tc>
        <w:tc>
          <w:tcPr>
            <w:tcW w:type="dxa" w:w="2160"/>
            <w:shd w:fill="1F4E79" w:val="clear"/>
          </w:tcPr>
          <w:p>
            <w:pPr>
              <w:jc w:val="center"/>
            </w:pPr>
            <w:r>
              <w:rPr>
                <w:b/>
                <w:color w:val="FFFFFF"/>
                <w:sz w:val="20"/>
              </w:rPr>
              <w:t>Test Count (approx.)</w:t>
            </w:r>
          </w:p>
        </w:tc>
      </w:tr>
      <w:tr>
        <w:tc>
          <w:tcPr>
            <w:tcW w:type="dxa" w:w="2160"/>
          </w:tcPr>
          <w:p>
            <w:r>
              <w:rPr>
                <w:sz w:val="20"/>
              </w:rPr>
              <w:t>Segmentation</w:t>
            </w:r>
          </w:p>
        </w:tc>
        <w:tc>
          <w:tcPr>
            <w:tcW w:type="dxa" w:w="4320"/>
          </w:tcPr>
          <w:p>
            <w:r>
              <w:rPr>
                <w:sz w:val="20"/>
              </w:rPr>
              <w:t>SAM prompting, label assignment, TTA, postprocessing</w:t>
            </w:r>
          </w:p>
        </w:tc>
        <w:tc>
          <w:tcPr>
            <w:tcW w:type="dxa" w:w="2160"/>
          </w:tcPr>
          <w:p>
            <w:r>
              <w:rPr>
                <w:sz w:val="20"/>
              </w:rPr>
              <w:t>~25</w:t>
            </w:r>
          </w:p>
        </w:tc>
      </w:tr>
      <w:tr>
        <w:tc>
          <w:tcPr>
            <w:tcW w:type="dxa" w:w="2160"/>
          </w:tcPr>
          <w:p>
            <w:r>
              <w:rPr>
                <w:sz w:val="20"/>
              </w:rPr>
              <w:t>Reconstruction</w:t>
            </w:r>
          </w:p>
        </w:tc>
        <w:tc>
          <w:tcPr>
            <w:tcW w:type="dxa" w:w="4320"/>
          </w:tcPr>
          <w:p>
            <w:r>
              <w:rPr>
                <w:sz w:val="20"/>
              </w:rPr>
              <w:t>Slice stacking, Marching Cubes, mesh metrics, visualization</w:t>
            </w:r>
          </w:p>
        </w:tc>
        <w:tc>
          <w:tcPr>
            <w:tcW w:type="dxa" w:w="2160"/>
          </w:tcPr>
          <w:p>
            <w:r>
              <w:rPr>
                <w:sz w:val="20"/>
              </w:rPr>
              <w:t>~30</w:t>
            </w:r>
          </w:p>
        </w:tc>
      </w:tr>
      <w:tr>
        <w:tc>
          <w:tcPr>
            <w:tcW w:type="dxa" w:w="2160"/>
          </w:tcPr>
          <w:p>
            <w:r>
              <w:rPr>
                <w:sz w:val="20"/>
              </w:rPr>
              <w:t>Classification</w:t>
            </w:r>
          </w:p>
        </w:tc>
        <w:tc>
          <w:tcPr>
            <w:tcW w:type="dxa" w:w="4320"/>
          </w:tcPr>
          <w:p>
            <w:r>
              <w:rPr>
                <w:sz w:val="20"/>
              </w:rPr>
              <w:t>Model architecture, training, prediction, evidence engine</w:t>
            </w:r>
          </w:p>
        </w:tc>
        <w:tc>
          <w:tcPr>
            <w:tcW w:type="dxa" w:w="2160"/>
          </w:tcPr>
          <w:p>
            <w:r>
              <w:rPr>
                <w:sz w:val="20"/>
              </w:rPr>
              <w:t>~20</w:t>
            </w:r>
          </w:p>
        </w:tc>
      </w:tr>
      <w:tr>
        <w:tc>
          <w:tcPr>
            <w:tcW w:type="dxa" w:w="2160"/>
          </w:tcPr>
          <w:p>
            <w:r>
              <w:rPr>
                <w:sz w:val="20"/>
              </w:rPr>
              <w:t>Evaluation</w:t>
            </w:r>
          </w:p>
        </w:tc>
        <w:tc>
          <w:tcPr>
            <w:tcW w:type="dxa" w:w="4320"/>
          </w:tcPr>
          <w:p>
            <w:r>
              <w:rPr>
                <w:sz w:val="20"/>
              </w:rPr>
              <w:t>Lesion analysis, therapy simulation, compatibility scoring</w:t>
            </w:r>
          </w:p>
        </w:tc>
        <w:tc>
          <w:tcPr>
            <w:tcW w:type="dxa" w:w="2160"/>
          </w:tcPr>
          <w:p>
            <w:r>
              <w:rPr>
                <w:sz w:val="20"/>
              </w:rPr>
              <w:t>~25</w:t>
            </w:r>
          </w:p>
        </w:tc>
      </w:tr>
      <w:tr>
        <w:tc>
          <w:tcPr>
            <w:tcW w:type="dxa" w:w="2160"/>
          </w:tcPr>
          <w:p>
            <w:r>
              <w:rPr>
                <w:sz w:val="20"/>
              </w:rPr>
              <w:t>Configuration</w:t>
            </w:r>
          </w:p>
        </w:tc>
        <w:tc>
          <w:tcPr>
            <w:tcW w:type="dxa" w:w="4320"/>
          </w:tcPr>
          <w:p>
            <w:r>
              <w:rPr>
                <w:sz w:val="20"/>
              </w:rPr>
              <w:t>YAML loading, validation, hierarchical merging</w:t>
            </w:r>
          </w:p>
        </w:tc>
        <w:tc>
          <w:tcPr>
            <w:tcW w:type="dxa" w:w="2160"/>
          </w:tcPr>
          <w:p>
            <w:r>
              <w:rPr>
                <w:sz w:val="20"/>
              </w:rPr>
              <w:t>~15</w:t>
            </w:r>
          </w:p>
        </w:tc>
      </w:tr>
      <w:tr>
        <w:tc>
          <w:tcPr>
            <w:tcW w:type="dxa" w:w="2160"/>
          </w:tcPr>
          <w:p>
            <w:r>
              <w:rPr>
                <w:sz w:val="20"/>
              </w:rPr>
              <w:t>Data</w:t>
            </w:r>
          </w:p>
        </w:tc>
        <w:tc>
          <w:tcPr>
            <w:tcW w:type="dxa" w:w="4320"/>
          </w:tcPr>
          <w:p>
            <w:r>
              <w:rPr>
                <w:sz w:val="20"/>
              </w:rPr>
              <w:t>MRI loading, real brain assets, atlas handling</w:t>
            </w:r>
          </w:p>
        </w:tc>
        <w:tc>
          <w:tcPr>
            <w:tcW w:type="dxa" w:w="2160"/>
          </w:tcPr>
          <w:p>
            <w:r>
              <w:rPr>
                <w:sz w:val="20"/>
              </w:rPr>
              <w:t>~19</w:t>
            </w:r>
          </w:p>
        </w:tc>
      </w:tr>
    </w:tbl>
    <w:p>
      <w:r>
        <w:rPr>
          <w:b/>
          <w:sz w:val="22"/>
        </w:rPr>
        <w:t xml:space="preserve">Test infrastructure: </w:t>
      </w:r>
      <w:r>
        <w:rPr>
          <w:sz w:val="22"/>
        </w:rPr>
        <w:t>Test infrastructure:</w:t>
      </w:r>
    </w:p>
    <w:p>
      <w:pPr>
        <w:pStyle w:val="ListBullet"/>
      </w:pPr>
      <w:r>
        <w:rPr>
          <w:sz w:val="22"/>
        </w:rPr>
        <w:t>pytest as the test runner with coverage reporting</w:t>
      </w:r>
    </w:p>
    <w:p>
      <w:pPr>
        <w:pStyle w:val="ListBullet"/>
      </w:pPr>
      <w:r>
        <w:rPr>
          <w:sz w:val="22"/>
        </w:rPr>
        <w:t>GitHub Actions CI pipeline (if configured)</w:t>
      </w:r>
    </w:p>
    <w:p>
      <w:pPr>
        <w:pStyle w:val="ListBullet"/>
      </w:pPr>
      <w:r>
        <w:rPr>
          <w:sz w:val="22"/>
        </w:rPr>
        <w:t>Mock segmenter for CI environments without SAM weights</w:t>
      </w:r>
    </w:p>
    <w:p>
      <w:pPr>
        <w:pStyle w:val="ListBullet"/>
      </w:pPr>
      <w:r>
        <w:rPr>
          <w:sz w:val="22"/>
        </w:rPr>
        <w:t>Synthetic test fixtures for reproducible testing</w:t>
      </w:r>
    </w:p>
    <w:p>
      <w:r>
        <w:br w:type="page"/>
      </w:r>
    </w:p>
    <w:p>
      <w:pPr>
        <w:pStyle w:val="Heading1"/>
      </w:pPr>
      <w:r>
        <w:rPr>
          <w:color w:val="1F4E79"/>
        </w:rPr>
        <w:t>9. Deployment &amp; Cloud Hosting</w:t>
      </w:r>
    </w:p>
    <w:p>
      <w:pPr>
        <w:pStyle w:val="Heading2"/>
      </w:pPr>
      <w:r>
        <w:rPr>
          <w:color w:val="1F4E79"/>
        </w:rPr>
        <w:t>9.1 Local Development</w:t>
      </w:r>
    </w:p>
    <w:p>
      <w:pPr>
        <w:spacing w:before="120" w:after="120"/>
        <w:ind w:left="432"/>
      </w:pPr>
      <w:r>
        <w:rPr>
          <w:rFonts w:ascii="Courier New" w:hAnsi="Courier New"/>
          <w:color w:val="202020"/>
          <w:sz w:val="18"/>
        </w:rPr>
        <w:t># Install with uv (recommended)</w:t>
        <w:br/>
        <w:t>uv pip install -e ".[torch,dev]"</w:t>
        <w:br/>
        <w:br/>
        <w:t># Or with pip</w:t>
        <w:br/>
        <w:t>pip install -e ".[torch,dev]"</w:t>
        <w:br/>
        <w:br/>
        <w:t># Run the Streamlit app</w:t>
        <w:br/>
        <w:t>streamlit run neurocure_app/app.py --server.port 12000</w:t>
      </w:r>
    </w:p>
    <w:p>
      <w:pPr>
        <w:ind w:left="432"/>
      </w:pPr>
      <w:r>
        <w:rPr>
          <w:i/>
          <w:color w:val="666666"/>
          <w:sz w:val="16"/>
        </w:rPr>
        <w:t>[bash]</w:t>
      </w:r>
    </w:p>
    <w:p>
      <w:pPr>
        <w:pStyle w:val="Heading2"/>
      </w:pPr>
      <w:r>
        <w:rPr>
          <w:color w:val="1F4E79"/>
        </w:rPr>
        <w:t>9.2 Streamlit Community Cloud (Free Tier)</w:t>
      </w:r>
    </w:p>
    <w:p>
      <w:r>
        <w:rPr>
          <w:sz w:val="22"/>
        </w:rPr>
        <w:t>Steps to deploy on Streamlit Community Cloud:</w:t>
      </w:r>
    </w:p>
    <w:p>
      <w:pPr>
        <w:pStyle w:val="ListBullet"/>
      </w:pPr>
      <w:r>
        <w:rPr>
          <w:sz w:val="22"/>
        </w:rPr>
      </w:r>
      <w:r>
        <w:rPr>
          <w:b/>
          <w:sz w:val="22"/>
        </w:rPr>
        <w:t xml:space="preserve">1. </w:t>
      </w:r>
      <w:r>
        <w:rPr>
          <w:sz w:val="22"/>
        </w:rPr>
        <w:t>Push the repository to GitHub (public or private)</w:t>
      </w:r>
    </w:p>
    <w:p>
      <w:pPr>
        <w:pStyle w:val="ListBullet"/>
      </w:pPr>
      <w:r>
        <w:rPr>
          <w:sz w:val="22"/>
        </w:rPr>
      </w:r>
      <w:r>
        <w:rPr>
          <w:b/>
          <w:sz w:val="22"/>
        </w:rPr>
        <w:t xml:space="preserve">2. </w:t>
      </w:r>
      <w:r>
        <w:rPr>
          <w:sz w:val="22"/>
        </w:rPr>
        <w:t>Go to https://share.streamlit.io/ and sign in with GitHub</w:t>
      </w:r>
    </w:p>
    <w:p>
      <w:pPr>
        <w:pStyle w:val="ListBullet"/>
      </w:pPr>
      <w:r>
        <w:rPr>
          <w:sz w:val="22"/>
        </w:rPr>
      </w:r>
      <w:r>
        <w:rPr>
          <w:b/>
          <w:sz w:val="22"/>
        </w:rPr>
        <w:t xml:space="preserve">3. </w:t>
      </w:r>
      <w:r>
        <w:rPr>
          <w:sz w:val="22"/>
        </w:rPr>
        <w:t>Click 'New app' and select the repository, branch, and main file path: neurocure_app/app.py</w:t>
      </w:r>
    </w:p>
    <w:p>
      <w:pPr>
        <w:pStyle w:val="ListBullet"/>
      </w:pPr>
      <w:r>
        <w:rPr>
          <w:sz w:val="22"/>
        </w:rPr>
      </w:r>
      <w:r>
        <w:rPr>
          <w:b/>
          <w:sz w:val="22"/>
        </w:rPr>
        <w:t xml:space="preserve">4. </w:t>
      </w:r>
      <w:r>
        <w:rPr>
          <w:sz w:val="22"/>
        </w:rPr>
        <w:t>Streamlit Cloud automatically installs dependencies from requirements.txt</w:t>
      </w:r>
    </w:p>
    <w:p>
      <w:pPr>
        <w:pStyle w:val="ListBullet"/>
      </w:pPr>
      <w:r>
        <w:rPr>
          <w:sz w:val="22"/>
        </w:rPr>
      </w:r>
      <w:r>
        <w:rPr>
          <w:b/>
          <w:sz w:val="22"/>
        </w:rPr>
        <w:t xml:space="preserve">5. </w:t>
      </w:r>
      <w:r>
        <w:rPr>
          <w:sz w:val="22"/>
        </w:rPr>
        <w:t>The app will be available at https://&lt;app-name&gt;.streamlit.app/</w:t>
      </w:r>
    </w:p>
    <w:p>
      <w:pPr>
        <w:pStyle w:val="Heading2"/>
      </w:pPr>
      <w:r>
        <w:rPr>
          <w:color w:val="1F4E79"/>
        </w:rPr>
        <w:t>9.3 Render</w:t>
      </w:r>
    </w:p>
    <w:p>
      <w:r>
        <w:rPr>
          <w:sz w:val="22"/>
        </w:rPr>
        <w:t>The repository includes render.yaml for one-click Render deployment:</w:t>
      </w:r>
    </w:p>
    <w:p>
      <w:pPr>
        <w:pStyle w:val="ListBullet"/>
      </w:pPr>
      <w:r>
        <w:rPr>
          <w:sz w:val="22"/>
        </w:rPr>
      </w:r>
      <w:r>
        <w:rPr>
          <w:b/>
          <w:sz w:val="22"/>
        </w:rPr>
        <w:t xml:space="preserve">1. </w:t>
      </w:r>
      <w:r>
        <w:rPr>
          <w:sz w:val="22"/>
        </w:rPr>
        <w:t>Connect your GitHub repository to Render</w:t>
      </w:r>
    </w:p>
    <w:p>
      <w:pPr>
        <w:pStyle w:val="ListBullet"/>
      </w:pPr>
      <w:r>
        <w:rPr>
          <w:sz w:val="22"/>
        </w:rPr>
      </w:r>
      <w:r>
        <w:rPr>
          <w:b/>
          <w:sz w:val="22"/>
        </w:rPr>
        <w:t xml:space="preserve">2. </w:t>
      </w:r>
      <w:r>
        <w:rPr>
          <w:sz w:val="22"/>
        </w:rPr>
        <w:t>Create a new Web Service and select the repository</w:t>
      </w:r>
    </w:p>
    <w:p>
      <w:pPr>
        <w:pStyle w:val="ListBullet"/>
      </w:pPr>
      <w:r>
        <w:rPr>
          <w:sz w:val="22"/>
        </w:rPr>
      </w:r>
      <w:r>
        <w:rPr>
          <w:b/>
          <w:sz w:val="22"/>
        </w:rPr>
        <w:t xml:space="preserve">3. </w:t>
      </w:r>
      <w:r>
        <w:rPr>
          <w:sz w:val="22"/>
        </w:rPr>
        <w:t>Render auto-detects render.yaml and provisions the service</w:t>
      </w:r>
    </w:p>
    <w:p>
      <w:pPr>
        <w:pStyle w:val="ListBullet"/>
      </w:pPr>
      <w:r>
        <w:rPr>
          <w:sz w:val="22"/>
        </w:rPr>
      </w:r>
      <w:r>
        <w:rPr>
          <w:b/>
          <w:sz w:val="22"/>
        </w:rPr>
        <w:t xml:space="preserve">4. </w:t>
      </w:r>
      <w:r>
        <w:rPr>
          <w:sz w:val="22"/>
        </w:rPr>
        <w:t>The app will be available at https://&lt;service-name&gt;.onrender.com/</w:t>
      </w:r>
    </w:p>
    <w:p>
      <w:pPr>
        <w:pStyle w:val="Heading2"/>
      </w:pPr>
      <w:r>
        <w:rPr>
          <w:color w:val="1F4E79"/>
        </w:rPr>
        <w:t>9.4 Deployment Files</w:t>
      </w:r>
    </w:p>
    <w:tbl>
      <w:tblPr>
        <w:tblStyle w:val="TableGrid"/>
        <w:tblW w:type="auto" w:w="0"/>
        <w:tblLook w:firstColumn="1" w:firstRow="1" w:lastColumn="0" w:lastRow="0" w:noHBand="0" w:noVBand="1" w:val="04A0"/>
      </w:tblPr>
      <w:tblGrid>
        <w:gridCol w:w="4320"/>
        <w:gridCol w:w="4320"/>
      </w:tblGrid>
      <w:tr>
        <w:tc>
          <w:tcPr>
            <w:tcW w:type="dxa" w:w="3600"/>
            <w:shd w:fill="1F4E79" w:val="clear"/>
          </w:tcPr>
          <w:p>
            <w:pPr>
              <w:jc w:val="center"/>
            </w:pPr>
            <w:r>
              <w:rPr>
                <w:b/>
                <w:color w:val="FFFFFF"/>
                <w:sz w:val="20"/>
              </w:rPr>
              <w:t>File</w:t>
            </w:r>
          </w:p>
        </w:tc>
        <w:tc>
          <w:tcPr>
            <w:tcW w:type="dxa" w:w="5760"/>
            <w:shd w:fill="1F4E79" w:val="clear"/>
          </w:tcPr>
          <w:p>
            <w:pPr>
              <w:jc w:val="center"/>
            </w:pPr>
            <w:r>
              <w:rPr>
                <w:b/>
                <w:color w:val="FFFFFF"/>
                <w:sz w:val="20"/>
              </w:rPr>
              <w:t>Purpose</w:t>
            </w:r>
          </w:p>
        </w:tc>
      </w:tr>
      <w:tr>
        <w:tc>
          <w:tcPr>
            <w:tcW w:type="dxa" w:w="3600"/>
          </w:tcPr>
          <w:p>
            <w:r>
              <w:rPr>
                <w:sz w:val="20"/>
              </w:rPr>
              <w:t>requirements.txt</w:t>
            </w:r>
          </w:p>
        </w:tc>
        <w:tc>
          <w:tcPr>
            <w:tcW w:type="dxa" w:w="5760"/>
          </w:tcPr>
          <w:p>
            <w:r>
              <w:rPr>
                <w:sz w:val="20"/>
              </w:rPr>
              <w:t>CPU-only PyTorch + all Python dependencies</w:t>
            </w:r>
          </w:p>
        </w:tc>
      </w:tr>
      <w:tr>
        <w:tc>
          <w:tcPr>
            <w:tcW w:type="dxa" w:w="3600"/>
          </w:tcPr>
          <w:p>
            <w:r>
              <w:rPr>
                <w:sz w:val="20"/>
              </w:rPr>
              <w:t>.streamlit/config.toml</w:t>
            </w:r>
          </w:p>
        </w:tc>
        <w:tc>
          <w:tcPr>
            <w:tcW w:type="dxa" w:w="5760"/>
          </w:tcPr>
          <w:p>
            <w:r>
              <w:rPr>
                <w:sz w:val="20"/>
              </w:rPr>
              <w:t>Streamlit server config (dark theme, CORS, upload limit)</w:t>
            </w:r>
          </w:p>
        </w:tc>
      </w:tr>
      <w:tr>
        <w:tc>
          <w:tcPr>
            <w:tcW w:type="dxa" w:w="3600"/>
          </w:tcPr>
          <w:p>
            <w:r>
              <w:rPr>
                <w:sz w:val="20"/>
              </w:rPr>
              <w:t>Procfile</w:t>
            </w:r>
          </w:p>
        </w:tc>
        <w:tc>
          <w:tcPr>
            <w:tcW w:type="dxa" w:w="5760"/>
          </w:tcPr>
          <w:p>
            <w:r>
              <w:rPr>
                <w:sz w:val="20"/>
              </w:rPr>
              <w:t>Heroku/Render process definition</w:t>
            </w:r>
          </w:p>
        </w:tc>
      </w:tr>
      <w:tr>
        <w:tc>
          <w:tcPr>
            <w:tcW w:type="dxa" w:w="3600"/>
          </w:tcPr>
          <w:p>
            <w:r>
              <w:rPr>
                <w:sz w:val="20"/>
              </w:rPr>
              <w:t>render.yaml</w:t>
            </w:r>
          </w:p>
        </w:tc>
        <w:tc>
          <w:tcPr>
            <w:tcW w:type="dxa" w:w="5760"/>
          </w:tcPr>
          <w:p>
            <w:r>
              <w:rPr>
                <w:sz w:val="20"/>
              </w:rPr>
              <w:t>Render infrastructure-as-code configuration</w:t>
            </w:r>
          </w:p>
        </w:tc>
      </w:tr>
      <w:tr>
        <w:tc>
          <w:tcPr>
            <w:tcW w:type="dxa" w:w="3600"/>
          </w:tcPr>
          <w:p>
            <w:r>
              <w:rPr>
                <w:sz w:val="20"/>
              </w:rPr>
              <w:t>.python-version</w:t>
            </w:r>
          </w:p>
        </w:tc>
        <w:tc>
          <w:tcPr>
            <w:tcW w:type="dxa" w:w="5760"/>
          </w:tcPr>
          <w:p>
            <w:r>
              <w:rPr>
                <w:sz w:val="20"/>
              </w:rPr>
              <w:t>Python version specification for cloud platforms</w:t>
            </w:r>
          </w:p>
        </w:tc>
      </w:tr>
    </w:tbl>
    <w:p>
      <w:r>
        <w:br w:type="page"/>
      </w:r>
    </w:p>
    <w:p>
      <w:pPr>
        <w:pStyle w:val="Heading1"/>
      </w:pPr>
      <w:r>
        <w:rPr>
          <w:color w:val="1F4E79"/>
        </w:rPr>
        <w:t>10. File Structure Reference</w:t>
      </w:r>
    </w:p>
    <w:p>
      <w:pPr>
        <w:spacing w:before="120" w:after="120"/>
        <w:ind w:left="432"/>
      </w:pPr>
      <w:r>
        <w:rPr>
          <w:rFonts w:ascii="Courier New" w:hAnsi="Courier New"/>
          <w:color w:val="202020"/>
          <w:sz w:val="18"/>
        </w:rPr>
        <w:t>brain-diseases-calssification/</w:t>
        <w:br/>
        <w:t>├── brainframe/                    # Core pipeline library</w:t>
        <w:br/>
        <w:t>│   ├── __init__.py</w:t>
        <w:br/>
        <w:t>│   ├── config.py                  # YAML config loading &amp; validation</w:t>
        <w:br/>
        <w:t>│   ├── session.py                 # Pipeline session management</w:t>
        <w:br/>
        <w:t>│   ├── cli.py                     # Command-line interface</w:t>
        <w:br/>
        <w:t>│   ├── classification/            # Disease classification module</w:t>
        <w:br/>
        <w:t>│   │   ├── trained_model.py       # Ensemble MLP with self-attention</w:t>
        <w:br/>
        <w:t>│   │   ├── evidence.py            # Feature attribution engine</w:t>
        <w:br/>
        <w:t>│   │   └── features.py            # 43 anatomical feature extraction</w:t>
        <w:br/>
        <w:t>│   ├── segmentation/              # SAM segmentation module</w:t>
        <w:br/>
        <w:t>│   │   ├── sam_segmenter.py       # SAM wrapper with grid prompting</w:t>
        <w:br/>
        <w:t>│   │   ├── label_assignment.py    # Intensity-ranked tissue labeling</w:t>
        <w:br/>
        <w:t>│   │   ├── tta.py                 # Test-time adaptation</w:t>
        <w:br/>
        <w:t>│   │   └── postprocess.py         # CC analysis, hole filling, smoothing</w:t>
        <w:br/>
        <w:t>│   ├── reconstruction/            # 3D reconstruction module</w:t>
        <w:br/>
        <w:t>│   │   ├── stacking.py            # 2D→3D slice stacking</w:t>
        <w:br/>
        <w:t>│   │   ├── marching.py            # Marching Cubes isosurface extraction</w:t>
        <w:br/>
        <w:t>│   │   ├── mesh_metrics.py        # Volume, surface area, atrophy ratios</w:t>
        <w:br/>
        <w:t>│   │   └── visualize.py           # Plotly 3D HTML + cross-sections</w:t>
        <w:br/>
        <w:t>│   ├── evaluation/                # Therapy evaluation module</w:t>
        <w:br/>
        <w:t>│   │   ├── lesion_analysis.py     # Lesion detection &amp; spatial analysis</w:t>
        <w:br/>
        <w:t>│   │   ├── therapy.py             # Therapy simulation (Gaussian kernel)</w:t>
        <w:br/>
        <w:t>│   │   ├── simulator.py           # Diffusion-based propagation</w:t>
        <w:br/>
        <w:t>│   │   ├── compatibility.py       # Multi-objective compatibility score</w:t>
        <w:br/>
        <w:t>│   │   └── report.py              # Report generation (JSON/HTML)</w:t>
        <w:br/>
        <w:t>│   └── data/                      # Data loading &amp; assets</w:t>
        <w:br/>
        <w:t>│       ├── real_brain.py          # ICBM152 template loader</w:t>
        <w:br/>
        <w:t>│       └── io.py                  # NIfTI/DICOM file I/O</w:t>
        <w:br/>
        <w:t>├── neurocure_app/                 # Streamlit web application</w:t>
        <w:br/>
        <w:t>│   ├── app.py                     # Main entry point (home page)</w:t>
        <w:br/>
        <w:t>│   ├── state.py                   # Session state management</w:t>
        <w:br/>
        <w:t>│   ├── components/</w:t>
        <w:br/>
        <w:t>│   │   ├── viewer3d.py            # Plotly 3D viewer component</w:t>
        <w:br/>
        <w:t>│   │   ├── three_viewer.py        # Three.js WebGL viewer component</w:t>
        <w:br/>
        <w:t>│   │   └── charts.py              # Metrics &amp; chart components</w:t>
        <w:br/>
        <w:t>│   └── pages/</w:t>
        <w:br/>
        <w:t>│       ├── 1_Upload.py            # Upload / demo brain page</w:t>
        <w:br/>
        <w:t>│       ├── 2_3D_Brain.py          # 3D reconstruction viewer</w:t>
        <w:br/>
        <w:t>│       ├── 3_Predict.py           # Disease prediction</w:t>
        <w:br/>
        <w:t>│       ├── 4_Therapy.py           # Therapy recommendation</w:t>
        <w:br/>
        <w:t>│       ├── 5_Simulate.py          # Live cure simulation</w:t>
        <w:br/>
        <w:t>│       ├── 6_Report.py            # Report download</w:t>
        <w:br/>
        <w:t>│       └── 7_Model_Evaluation.py  # Statistical evaluation dashboard</w:t>
        <w:br/>
        <w:t>├── assets/                        # Bundled data assets</w:t>
        <w:br/>
        <w:t>│   ├── demo_brain.nii.gz          # ICBM152 template with synthetic lesion</w:t>
        <w:br/>
        <w:t>│   ├── models/</w:t>
        <w:br/>
        <w:t>│   │   └── disease_mlp.pt         # Pre-trained disease classifier weights</w:t>
        <w:br/>
        <w:t>│   └── real_brain/                # ICBM152 + atlas data</w:t>
        <w:br/>
        <w:t>├── configs/                       # YAML configuration files</w:t>
        <w:br/>
        <w:t>│   ├── default.yaml               # Master config</w:t>
        <w:br/>
        <w:t>│   ├── classification.yaml        # Classifier hyperparameters</w:t>
        <w:br/>
        <w:t>│   ├── segmentation.yaml          # SAM &amp; TTA settings</w:t>
        <w:br/>
        <w:t>│   ├── reconstruction.yaml        # Mesh extraction settings</w:t>
        <w:br/>
        <w:t>│   └── evaluation.yaml            # Therapy simulation settings</w:t>
        <w:br/>
        <w:t>├── tests/                         # Test suite (134 tests)</w:t>
        <w:br/>
        <w:t>├── requirements.txt               # CPU-only deployment dependencies</w:t>
        <w:br/>
        <w:t>├── pyproject.toml                 # Package metadata &amp; dependencies</w:t>
        <w:br/>
        <w:t>├── .streamlit/config.toml         # Streamlit server configuration</w:t>
        <w:br/>
        <w:t>├── Procfile                       # Heroku/Render process definition</w:t>
        <w:br/>
        <w:t>├── render.yaml                    # Render deployment configuration</w:t>
        <w:br/>
        <w:t>├── .python-version                # Python version for cloud</w:t>
        <w:br/>
        <w:t>└── DEPLOYMENT.md                  # Cloud deployment guide</w:t>
      </w:r>
    </w:p>
    <w:p>
      <w:pPr>
        <w:ind w:left="432"/>
      </w:pPr>
      <w:r>
        <w:rPr>
          <w:i/>
          <w:color w:val="666666"/>
          <w:sz w:val="16"/>
        </w:rPr>
        <w:t>[plaintext]</w:t>
      </w:r>
    </w:p>
    <w:p>
      <w:r>
        <w:br w:type="page"/>
      </w:r>
    </w:p>
    <w:p>
      <w:pPr>
        <w:pStyle w:val="Heading1"/>
      </w:pPr>
      <w:r>
        <w:rPr>
          <w:color w:val="1F4E79"/>
        </w:rPr>
        <w:t>11. Dependencies &amp; Requirements</w:t>
      </w:r>
    </w:p>
    <w:p>
      <w:pPr>
        <w:pStyle w:val="Heading2"/>
      </w:pPr>
      <w:r>
        <w:rPr>
          <w:color w:val="1F4E79"/>
        </w:rPr>
        <w:t>11.1 Core Dependencies</w:t>
      </w:r>
    </w:p>
    <w:tbl>
      <w:tblPr>
        <w:tblStyle w:val="TableGrid"/>
        <w:tblW w:type="auto" w:w="0"/>
        <w:tblLook w:firstColumn="1" w:firstRow="1" w:lastColumn="0" w:lastRow="0" w:noHBand="0" w:noVBand="1" w:val="04A0"/>
      </w:tblPr>
      <w:tblGrid>
        <w:gridCol w:w="2880"/>
        <w:gridCol w:w="2880"/>
        <w:gridCol w:w="2880"/>
      </w:tblGrid>
      <w:tr>
        <w:tc>
          <w:tcPr>
            <w:tcW w:type="dxa" w:w="2160"/>
            <w:shd w:fill="1F4E79" w:val="clear"/>
          </w:tcPr>
          <w:p>
            <w:pPr>
              <w:jc w:val="center"/>
            </w:pPr>
            <w:r>
              <w:rPr>
                <w:b/>
                <w:color w:val="FFFFFF"/>
                <w:sz w:val="20"/>
              </w:rPr>
              <w:t>Package</w:t>
            </w:r>
          </w:p>
        </w:tc>
        <w:tc>
          <w:tcPr>
            <w:tcW w:type="dxa" w:w="2160"/>
            <w:shd w:fill="1F4E79" w:val="clear"/>
          </w:tcPr>
          <w:p>
            <w:pPr>
              <w:jc w:val="center"/>
            </w:pPr>
            <w:r>
              <w:rPr>
                <w:b/>
                <w:color w:val="FFFFFF"/>
                <w:sz w:val="20"/>
              </w:rPr>
              <w:t>Version Constraint</w:t>
            </w:r>
          </w:p>
        </w:tc>
        <w:tc>
          <w:tcPr>
            <w:tcW w:type="dxa" w:w="5040"/>
            <w:shd w:fill="1F4E79" w:val="clear"/>
          </w:tcPr>
          <w:p>
            <w:pPr>
              <w:jc w:val="center"/>
            </w:pPr>
            <w:r>
              <w:rPr>
                <w:b/>
                <w:color w:val="FFFFFF"/>
                <w:sz w:val="20"/>
              </w:rPr>
              <w:t>Purpose</w:t>
            </w:r>
          </w:p>
        </w:tc>
      </w:tr>
      <w:tr>
        <w:tc>
          <w:tcPr>
            <w:tcW w:type="dxa" w:w="2160"/>
          </w:tcPr>
          <w:p>
            <w:r>
              <w:rPr>
                <w:sz w:val="20"/>
              </w:rPr>
              <w:t>torch</w:t>
            </w:r>
          </w:p>
        </w:tc>
        <w:tc>
          <w:tcPr>
            <w:tcW w:type="dxa" w:w="2160"/>
          </w:tcPr>
          <w:p>
            <w:r>
              <w:rPr>
                <w:sz w:val="20"/>
              </w:rPr>
              <w:t>CPU-only</w:t>
            </w:r>
          </w:p>
        </w:tc>
        <w:tc>
          <w:tcPr>
            <w:tcW w:type="dxa" w:w="5040"/>
          </w:tcPr>
          <w:p>
            <w:r>
              <w:rPr>
                <w:sz w:val="20"/>
              </w:rPr>
              <w:t>Deep learning framework (segmentation + classification)</w:t>
            </w:r>
          </w:p>
        </w:tc>
      </w:tr>
      <w:tr>
        <w:tc>
          <w:tcPr>
            <w:tcW w:type="dxa" w:w="2160"/>
          </w:tcPr>
          <w:p>
            <w:r>
              <w:rPr>
                <w:sz w:val="20"/>
              </w:rPr>
              <w:t>streamlit</w:t>
            </w:r>
          </w:p>
        </w:tc>
        <w:tc>
          <w:tcPr>
            <w:tcW w:type="dxa" w:w="2160"/>
          </w:tcPr>
          <w:p>
            <w:r>
              <w:rPr>
                <w:sz w:val="20"/>
              </w:rPr>
              <w:t>≥ 1.30</w:t>
            </w:r>
          </w:p>
        </w:tc>
        <w:tc>
          <w:tcPr>
            <w:tcW w:type="dxa" w:w="5040"/>
          </w:tcPr>
          <w:p>
            <w:r>
              <w:rPr>
                <w:sz w:val="20"/>
              </w:rPr>
              <w:t>Web application framework</w:t>
            </w:r>
          </w:p>
        </w:tc>
      </w:tr>
      <w:tr>
        <w:tc>
          <w:tcPr>
            <w:tcW w:type="dxa" w:w="2160"/>
          </w:tcPr>
          <w:p>
            <w:r>
              <w:rPr>
                <w:sz w:val="20"/>
              </w:rPr>
              <w:t>numpy</w:t>
            </w:r>
          </w:p>
        </w:tc>
        <w:tc>
          <w:tcPr>
            <w:tcW w:type="dxa" w:w="2160"/>
          </w:tcPr>
          <w:p>
            <w:r>
              <w:rPr>
                <w:sz w:val="20"/>
              </w:rPr>
              <w:t>—</w:t>
            </w:r>
          </w:p>
        </w:tc>
        <w:tc>
          <w:tcPr>
            <w:tcW w:type="dxa" w:w="5040"/>
          </w:tcPr>
          <w:p>
            <w:r>
              <w:rPr>
                <w:sz w:val="20"/>
              </w:rPr>
              <w:t>Numerical computing</w:t>
            </w:r>
          </w:p>
        </w:tc>
      </w:tr>
      <w:tr>
        <w:tc>
          <w:tcPr>
            <w:tcW w:type="dxa" w:w="2160"/>
          </w:tcPr>
          <w:p>
            <w:r>
              <w:rPr>
                <w:sz w:val="20"/>
              </w:rPr>
              <w:t>scipy</w:t>
            </w:r>
          </w:p>
        </w:tc>
        <w:tc>
          <w:tcPr>
            <w:tcW w:type="dxa" w:w="2160"/>
          </w:tcPr>
          <w:p>
            <w:r>
              <w:rPr>
                <w:sz w:val="20"/>
              </w:rPr>
              <w:t>—</w:t>
            </w:r>
          </w:p>
        </w:tc>
        <w:tc>
          <w:tcPr>
            <w:tcW w:type="dxa" w:w="5040"/>
          </w:tcPr>
          <w:p>
            <w:r>
              <w:rPr>
                <w:sz w:val="20"/>
              </w:rPr>
              <w:t>Scientific computing (interpolation, morphology)</w:t>
            </w:r>
          </w:p>
        </w:tc>
      </w:tr>
      <w:tr>
        <w:tc>
          <w:tcPr>
            <w:tcW w:type="dxa" w:w="2160"/>
          </w:tcPr>
          <w:p>
            <w:r>
              <w:rPr>
                <w:sz w:val="20"/>
              </w:rPr>
              <w:t>scikit-image</w:t>
            </w:r>
          </w:p>
        </w:tc>
        <w:tc>
          <w:tcPr>
            <w:tcW w:type="dxa" w:w="2160"/>
          </w:tcPr>
          <w:p>
            <w:r>
              <w:rPr>
                <w:sz w:val="20"/>
              </w:rPr>
              <w:t>—</w:t>
            </w:r>
          </w:p>
        </w:tc>
        <w:tc>
          <w:tcPr>
            <w:tcW w:type="dxa" w:w="5040"/>
          </w:tcPr>
          <w:p>
            <w:r>
              <w:rPr>
                <w:sz w:val="20"/>
              </w:rPr>
              <w:t>Image processing (Marching Cubes, connected components)</w:t>
            </w:r>
          </w:p>
        </w:tc>
      </w:tr>
      <w:tr>
        <w:tc>
          <w:tcPr>
            <w:tcW w:type="dxa" w:w="2160"/>
          </w:tcPr>
          <w:p>
            <w:r>
              <w:rPr>
                <w:sz w:val="20"/>
              </w:rPr>
              <w:t>nibabel</w:t>
            </w:r>
          </w:p>
        </w:tc>
        <w:tc>
          <w:tcPr>
            <w:tcW w:type="dxa" w:w="2160"/>
          </w:tcPr>
          <w:p>
            <w:r>
              <w:rPr>
                <w:sz w:val="20"/>
              </w:rPr>
              <w:t>—</w:t>
            </w:r>
          </w:p>
        </w:tc>
        <w:tc>
          <w:tcPr>
            <w:tcW w:type="dxa" w:w="5040"/>
          </w:tcPr>
          <w:p>
            <w:r>
              <w:rPr>
                <w:sz w:val="20"/>
              </w:rPr>
              <w:t>NIfTI file I/O</w:t>
            </w:r>
          </w:p>
        </w:tc>
      </w:tr>
      <w:tr>
        <w:tc>
          <w:tcPr>
            <w:tcW w:type="dxa" w:w="2160"/>
          </w:tcPr>
          <w:p>
            <w:r>
              <w:rPr>
                <w:sz w:val="20"/>
              </w:rPr>
              <w:t>pydicom</w:t>
            </w:r>
          </w:p>
        </w:tc>
        <w:tc>
          <w:tcPr>
            <w:tcW w:type="dxa" w:w="2160"/>
          </w:tcPr>
          <w:p>
            <w:r>
              <w:rPr>
                <w:sz w:val="20"/>
              </w:rPr>
              <w:t>—</w:t>
            </w:r>
          </w:p>
        </w:tc>
        <w:tc>
          <w:tcPr>
            <w:tcW w:type="dxa" w:w="5040"/>
          </w:tcPr>
          <w:p>
            <w:r>
              <w:rPr>
                <w:sz w:val="20"/>
              </w:rPr>
              <w:t>DICOM file I/O</w:t>
            </w:r>
          </w:p>
        </w:tc>
      </w:tr>
      <w:tr>
        <w:tc>
          <w:tcPr>
            <w:tcW w:type="dxa" w:w="2160"/>
          </w:tcPr>
          <w:p>
            <w:r>
              <w:rPr>
                <w:sz w:val="20"/>
              </w:rPr>
              <w:t>plotly</w:t>
            </w:r>
          </w:p>
        </w:tc>
        <w:tc>
          <w:tcPr>
            <w:tcW w:type="dxa" w:w="2160"/>
          </w:tcPr>
          <w:p>
            <w:r>
              <w:rPr>
                <w:sz w:val="20"/>
              </w:rPr>
              <w:t>—</w:t>
            </w:r>
          </w:p>
        </w:tc>
        <w:tc>
          <w:tcPr>
            <w:tcW w:type="dxa" w:w="5040"/>
          </w:tcPr>
          <w:p>
            <w:r>
              <w:rPr>
                <w:sz w:val="20"/>
              </w:rPr>
              <w:t>Interactive 3D visualization (Plotly.js)</w:t>
            </w:r>
          </w:p>
        </w:tc>
      </w:tr>
      <w:tr>
        <w:tc>
          <w:tcPr>
            <w:tcW w:type="dxa" w:w="2160"/>
          </w:tcPr>
          <w:p>
            <w:r>
              <w:rPr>
                <w:sz w:val="20"/>
              </w:rPr>
              <w:t>pyyaml</w:t>
            </w:r>
          </w:p>
        </w:tc>
        <w:tc>
          <w:tcPr>
            <w:tcW w:type="dxa" w:w="2160"/>
          </w:tcPr>
          <w:p>
            <w:r>
              <w:rPr>
                <w:sz w:val="20"/>
              </w:rPr>
              <w:t>—</w:t>
            </w:r>
          </w:p>
        </w:tc>
        <w:tc>
          <w:tcPr>
            <w:tcW w:type="dxa" w:w="5040"/>
          </w:tcPr>
          <w:p>
            <w:r>
              <w:rPr>
                <w:sz w:val="20"/>
              </w:rPr>
              <w:t>YAML configuration parsing</w:t>
            </w:r>
          </w:p>
        </w:tc>
      </w:tr>
      <w:tr>
        <w:tc>
          <w:tcPr>
            <w:tcW w:type="dxa" w:w="2160"/>
          </w:tcPr>
          <w:p>
            <w:r>
              <w:rPr>
                <w:sz w:val="20"/>
              </w:rPr>
              <w:t>loguru</w:t>
            </w:r>
          </w:p>
        </w:tc>
        <w:tc>
          <w:tcPr>
            <w:tcW w:type="dxa" w:w="2160"/>
          </w:tcPr>
          <w:p>
            <w:r>
              <w:rPr>
                <w:sz w:val="20"/>
              </w:rPr>
              <w:t>—</w:t>
            </w:r>
          </w:p>
        </w:tc>
        <w:tc>
          <w:tcPr>
            <w:tcW w:type="dxa" w:w="5040"/>
          </w:tcPr>
          <w:p>
            <w:r>
              <w:rPr>
                <w:sz w:val="20"/>
              </w:rPr>
              <w:t>Structured logging</w:t>
            </w:r>
          </w:p>
        </w:tc>
      </w:tr>
      <w:tr>
        <w:tc>
          <w:tcPr>
            <w:tcW w:type="dxa" w:w="2160"/>
          </w:tcPr>
          <w:p>
            <w:r>
              <w:rPr>
                <w:sz w:val="20"/>
              </w:rPr>
              <w:t>trimesh</w:t>
            </w:r>
          </w:p>
        </w:tc>
        <w:tc>
          <w:tcPr>
            <w:tcW w:type="dxa" w:w="2160"/>
          </w:tcPr>
          <w:p>
            <w:r>
              <w:rPr>
                <w:sz w:val="20"/>
              </w:rPr>
              <w:t>—</w:t>
            </w:r>
          </w:p>
        </w:tc>
        <w:tc>
          <w:tcPr>
            <w:tcW w:type="dxa" w:w="5040"/>
          </w:tcPr>
          <w:p>
            <w:r>
              <w:rPr>
                <w:sz w:val="20"/>
              </w:rPr>
              <w:t>Mesh processing &amp; metrics</w:t>
            </w:r>
          </w:p>
        </w:tc>
      </w:tr>
      <w:tr>
        <w:tc>
          <w:tcPr>
            <w:tcW w:type="dxa" w:w="2160"/>
          </w:tcPr>
          <w:p>
            <w:r>
              <w:rPr>
                <w:sz w:val="20"/>
              </w:rPr>
              <w:t>pandas</w:t>
            </w:r>
          </w:p>
        </w:tc>
        <w:tc>
          <w:tcPr>
            <w:tcW w:type="dxa" w:w="2160"/>
          </w:tcPr>
          <w:p>
            <w:r>
              <w:rPr>
                <w:sz w:val="20"/>
              </w:rPr>
              <w:t>—</w:t>
            </w:r>
          </w:p>
        </w:tc>
        <w:tc>
          <w:tcPr>
            <w:tcW w:type="dxa" w:w="5040"/>
          </w:tcPr>
          <w:p>
            <w:r>
              <w:rPr>
                <w:sz w:val="20"/>
              </w:rPr>
              <w:t>Data manipulation for evaluation metrics</w:t>
            </w:r>
          </w:p>
        </w:tc>
      </w:tr>
      <w:tr>
        <w:tc>
          <w:tcPr>
            <w:tcW w:type="dxa" w:w="2160"/>
          </w:tcPr>
          <w:p>
            <w:r>
              <w:rPr>
                <w:sz w:val="20"/>
              </w:rPr>
              <w:t>matplotlib</w:t>
            </w:r>
          </w:p>
        </w:tc>
        <w:tc>
          <w:tcPr>
            <w:tcW w:type="dxa" w:w="2160"/>
          </w:tcPr>
          <w:p>
            <w:r>
              <w:rPr>
                <w:sz w:val="20"/>
              </w:rPr>
              <w:t>—</w:t>
            </w:r>
          </w:p>
        </w:tc>
        <w:tc>
          <w:tcPr>
            <w:tcW w:type="dxa" w:w="5040"/>
          </w:tcPr>
          <w:p>
            <w:r>
              <w:rPr>
                <w:sz w:val="20"/>
              </w:rPr>
              <w:t>Static plot generation for reports</w:t>
            </w:r>
          </w:p>
        </w:tc>
      </w:tr>
    </w:tbl>
    <w:p>
      <w:pPr>
        <w:pStyle w:val="Heading2"/>
      </w:pPr>
      <w:r>
        <w:rPr>
          <w:color w:val="1F4E79"/>
        </w:rPr>
        <w:t>11.2 Development Dependencies</w:t>
      </w:r>
    </w:p>
    <w:tbl>
      <w:tblPr>
        <w:tblStyle w:val="TableGrid"/>
        <w:tblW w:type="auto" w:w="0"/>
        <w:tblLook w:firstColumn="1" w:firstRow="1" w:lastColumn="0" w:lastRow="0" w:noHBand="0" w:noVBand="1" w:val="04A0"/>
      </w:tblPr>
      <w:tblGrid>
        <w:gridCol w:w="4320"/>
        <w:gridCol w:w="4320"/>
      </w:tblGrid>
      <w:tr>
        <w:tc>
          <w:tcPr>
            <w:tcW w:type="dxa" w:w="2160"/>
            <w:shd w:fill="1F4E79" w:val="clear"/>
          </w:tcPr>
          <w:p>
            <w:pPr>
              <w:jc w:val="center"/>
            </w:pPr>
            <w:r>
              <w:rPr>
                <w:b/>
                <w:color w:val="FFFFFF"/>
                <w:sz w:val="20"/>
              </w:rPr>
              <w:t>Package</w:t>
            </w:r>
          </w:p>
        </w:tc>
        <w:tc>
          <w:tcPr>
            <w:tcW w:type="dxa" w:w="7200"/>
            <w:shd w:fill="1F4E79" w:val="clear"/>
          </w:tcPr>
          <w:p>
            <w:pPr>
              <w:jc w:val="center"/>
            </w:pPr>
            <w:r>
              <w:rPr>
                <w:b/>
                <w:color w:val="FFFFFF"/>
                <w:sz w:val="20"/>
              </w:rPr>
              <w:t>Purpose</w:t>
            </w:r>
          </w:p>
        </w:tc>
      </w:tr>
      <w:tr>
        <w:tc>
          <w:tcPr>
            <w:tcW w:type="dxa" w:w="2160"/>
          </w:tcPr>
          <w:p>
            <w:r>
              <w:rPr>
                <w:sz w:val="20"/>
              </w:rPr>
              <w:t>pytest</w:t>
            </w:r>
          </w:p>
        </w:tc>
        <w:tc>
          <w:tcPr>
            <w:tcW w:type="dxa" w:w="7200"/>
          </w:tcPr>
          <w:p>
            <w:r>
              <w:rPr>
                <w:sz w:val="20"/>
              </w:rPr>
              <w:t>Test runner</w:t>
            </w:r>
          </w:p>
        </w:tc>
      </w:tr>
      <w:tr>
        <w:tc>
          <w:tcPr>
            <w:tcW w:type="dxa" w:w="2160"/>
          </w:tcPr>
          <w:p>
            <w:r>
              <w:rPr>
                <w:sz w:val="20"/>
              </w:rPr>
              <w:t>pytest-cov</w:t>
            </w:r>
          </w:p>
        </w:tc>
        <w:tc>
          <w:tcPr>
            <w:tcW w:type="dxa" w:w="7200"/>
          </w:tcPr>
          <w:p>
            <w:r>
              <w:rPr>
                <w:sz w:val="20"/>
              </w:rPr>
              <w:t>Coverage reporting</w:t>
            </w:r>
          </w:p>
        </w:tc>
      </w:tr>
      <w:tr>
        <w:tc>
          <w:tcPr>
            <w:tcW w:type="dxa" w:w="2160"/>
          </w:tcPr>
          <w:p>
            <w:r>
              <w:rPr>
                <w:sz w:val="20"/>
              </w:rPr>
              <w:t>ruff</w:t>
            </w:r>
          </w:p>
        </w:tc>
        <w:tc>
          <w:tcPr>
            <w:tcW w:type="dxa" w:w="7200"/>
          </w:tcPr>
          <w:p>
            <w:r>
              <w:rPr>
                <w:sz w:val="20"/>
              </w:rPr>
              <w:t>Linting &amp; code formatting</w:t>
            </w:r>
          </w:p>
        </w:tc>
      </w:tr>
    </w:tbl>
    <w:p>
      <w:pPr>
        <w:pStyle w:val="Heading2"/>
      </w:pPr>
      <w:r>
        <w:rPr>
          <w:color w:val="1F4E79"/>
        </w:rPr>
        <w:t>11.3 Optional Dependencies</w:t>
      </w:r>
    </w:p>
    <w:tbl>
      <w:tblPr>
        <w:tblStyle w:val="TableGrid"/>
        <w:tblW w:type="auto" w:w="0"/>
        <w:tblLook w:firstColumn="1" w:firstRow="1" w:lastColumn="0" w:lastRow="0" w:noHBand="0" w:noVBand="1" w:val="04A0"/>
      </w:tblPr>
      <w:tblGrid>
        <w:gridCol w:w="2880"/>
        <w:gridCol w:w="2880"/>
        <w:gridCol w:w="2880"/>
      </w:tblGrid>
      <w:tr>
        <w:tc>
          <w:tcPr>
            <w:tcW w:type="dxa" w:w="2160"/>
            <w:shd w:fill="1F4E79" w:val="clear"/>
          </w:tcPr>
          <w:p>
            <w:pPr>
              <w:jc w:val="center"/>
            </w:pPr>
            <w:r>
              <w:rPr>
                <w:b/>
                <w:color w:val="FFFFFF"/>
                <w:sz w:val="20"/>
              </w:rPr>
              <w:t>Package</w:t>
            </w:r>
          </w:p>
        </w:tc>
        <w:tc>
          <w:tcPr>
            <w:tcW w:type="dxa" w:w="1440"/>
            <w:shd w:fill="1F4E79" w:val="clear"/>
          </w:tcPr>
          <w:p>
            <w:pPr>
              <w:jc w:val="center"/>
            </w:pPr>
            <w:r>
              <w:rPr>
                <w:b/>
                <w:color w:val="FFFFFF"/>
                <w:sz w:val="20"/>
              </w:rPr>
              <w:t>Extra</w:t>
            </w:r>
          </w:p>
        </w:tc>
        <w:tc>
          <w:tcPr>
            <w:tcW w:type="dxa" w:w="5760"/>
            <w:shd w:fill="1F4E79" w:val="clear"/>
          </w:tcPr>
          <w:p>
            <w:pPr>
              <w:jc w:val="center"/>
            </w:pPr>
            <w:r>
              <w:rPr>
                <w:b/>
                <w:color w:val="FFFFFF"/>
                <w:sz w:val="20"/>
              </w:rPr>
              <w:t>Purpose</w:t>
            </w:r>
          </w:p>
        </w:tc>
      </w:tr>
      <w:tr>
        <w:tc>
          <w:tcPr>
            <w:tcW w:type="dxa" w:w="2160"/>
          </w:tcPr>
          <w:p>
            <w:r>
              <w:rPr>
                <w:sz w:val="20"/>
              </w:rPr>
              <w:t>segment-anything</w:t>
            </w:r>
          </w:p>
        </w:tc>
        <w:tc>
          <w:tcPr>
            <w:tcW w:type="dxa" w:w="1440"/>
          </w:tcPr>
          <w:p>
            <w:r>
              <w:rPr>
                <w:sz w:val="20"/>
              </w:rPr>
              <w:t>[sam]</w:t>
            </w:r>
          </w:p>
        </w:tc>
        <w:tc>
          <w:tcPr>
            <w:tcW w:type="dxa" w:w="5760"/>
          </w:tcPr>
          <w:p>
            <w:r>
              <w:rPr>
                <w:sz w:val="20"/>
              </w:rPr>
              <w:t>SAM model weights &amp; inference</w:t>
            </w:r>
          </w:p>
        </w:tc>
      </w:tr>
      <w:tr>
        <w:tc>
          <w:tcPr>
            <w:tcW w:type="dxa" w:w="2160"/>
          </w:tcPr>
          <w:p>
            <w:r>
              <w:rPr>
                <w:sz w:val="20"/>
              </w:rPr>
              <w:t>pyvista</w:t>
            </w:r>
          </w:p>
        </w:tc>
        <w:tc>
          <w:tcPr>
            <w:tcW w:type="dxa" w:w="1440"/>
          </w:tcPr>
          <w:p>
            <w:r>
              <w:rPr>
                <w:sz w:val="20"/>
              </w:rPr>
              <w:t>[viz]</w:t>
            </w:r>
          </w:p>
        </w:tc>
        <w:tc>
          <w:tcPr>
            <w:tcW w:type="dxa" w:w="5760"/>
          </w:tcPr>
          <w:p>
            <w:r>
              <w:rPr>
                <w:sz w:val="20"/>
              </w:rPr>
              <w:t>Advanced 3D visualization (alternative to Plotly)</w:t>
            </w:r>
          </w:p>
        </w:tc>
      </w:tr>
      <w:tr>
        <w:tc>
          <w:tcPr>
            <w:tcW w:type="dxa" w:w="2160"/>
          </w:tcPr>
          <w:p>
            <w:r>
              <w:rPr>
                <w:sz w:val="20"/>
              </w:rPr>
              <w:t>onnxruntime</w:t>
            </w:r>
          </w:p>
        </w:tc>
        <w:tc>
          <w:tcPr>
            <w:tcW w:type="dxa" w:w="1440"/>
          </w:tcPr>
          <w:p>
            <w:r>
              <w:rPr>
                <w:sz w:val="20"/>
              </w:rPr>
              <w:t>[sam]</w:t>
            </w:r>
          </w:p>
        </w:tc>
        <w:tc>
          <w:tcPr>
            <w:tcW w:type="dxa" w:w="5760"/>
          </w:tcPr>
          <w:p>
            <w:r>
              <w:rPr>
                <w:sz w:val="20"/>
              </w:rPr>
              <w:t>Optimized SAM inference</w:t>
            </w:r>
          </w:p>
        </w:tc>
      </w:tr>
    </w:tbl>
    <w:p/>
    <w:p/>
    <w:p>
      <w:pPr>
        <w:jc w:val="center"/>
      </w:pPr>
      <w:r>
        <w:rPr>
          <w:i/>
          <w:color w:val="666666"/>
          <w:sz w:val="22"/>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