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555555"/>
          <w:sz w:val="28"/>
        </w:rPr>
        <w:t>ACADEMIC RESEARCH DOCUMENT</w:t>
      </w:r>
    </w:p>
    <w:p/>
    <w:p>
      <w:pPr>
        <w:jc w:val="center"/>
      </w:pPr>
      <w:r>
        <w:rPr>
          <w:b/>
          <w:color w:val="1F4E79"/>
          <w:sz w:val="80"/>
        </w:rPr>
        <w:t>NeuroCure</w:t>
      </w:r>
    </w:p>
    <w:p>
      <w:pPr>
        <w:jc w:val="center"/>
      </w:pPr>
      <w:r>
        <w:rPr>
          <w:color w:val="555555"/>
          <w:sz w:val="30"/>
        </w:rPr>
        <w:t>A Retraining-Free AI Framework for 3D Neurodegenerative Brain Reconstruction and Computational Evaluation for Neuroregenerative Therapy</w:t>
      </w:r>
    </w:p>
    <w:p/>
    <w:p>
      <w:pPr>
        <w:jc w:val="center"/>
      </w:pPr>
      <w:r>
        <w:rPr>
          <w:b/>
          <w:color w:val="1A1A2E"/>
          <w:sz w:val="26"/>
        </w:rPr>
        <w:t>Comprehensive Technical and Methodological Documentation</w:t>
      </w:r>
    </w:p>
    <w:p/>
    <w:p/>
    <w:tbl>
      <w:tblPr>
        <w:tblStyle w:val="TableGrid"/>
        <w:tblW w:type="auto" w:w="0"/>
        <w:tblLook w:firstColumn="1" w:firstRow="1" w:lastColumn="0" w:lastRow="0" w:noHBand="0" w:noVBand="1" w:val="04A0"/>
      </w:tblPr>
      <w:tblGrid>
        <w:gridCol w:w="4320"/>
        <w:gridCol w:w="4320"/>
      </w:tblGrid>
      <w:tr>
        <w:tc>
          <w:tcPr>
            <w:tcW w:type="dxa" w:w="4320"/>
            <w:shd w:fill="E8EEF4" w:val="clear"/>
          </w:tcPr>
          <w:p>
            <w:r>
              <w:rPr>
                <w:b/>
                <w:sz w:val="22"/>
              </w:rPr>
              <w:t>Researcher</w:t>
            </w:r>
          </w:p>
        </w:tc>
        <w:tc>
          <w:tcPr>
            <w:tcW w:type="dxa" w:w="4320"/>
          </w:tcPr>
          <w:p>
            <w:r>
              <w:t>[Your Name]</w:t>
            </w:r>
          </w:p>
        </w:tc>
      </w:tr>
      <w:tr>
        <w:tc>
          <w:tcPr>
            <w:tcW w:type="dxa" w:w="4320"/>
            <w:shd w:fill="E8EEF4" w:val="clear"/>
          </w:tcPr>
          <w:p>
            <w:r>
              <w:rPr>
                <w:b/>
                <w:sz w:val="22"/>
              </w:rPr>
              <w:t>Institution / Affiliation</w:t>
            </w:r>
          </w:p>
        </w:tc>
        <w:tc>
          <w:tcPr>
            <w:tcW w:type="dxa" w:w="4320"/>
          </w:tcPr>
          <w:p>
            <w:r>
              <w:t>[Your University / Department]</w:t>
            </w:r>
          </w:p>
        </w:tc>
      </w:tr>
      <w:tr>
        <w:tc>
          <w:tcPr>
            <w:tcW w:type="dxa" w:w="4320"/>
            <w:shd w:fill="E8EEF4" w:val="clear"/>
          </w:tcPr>
          <w:p>
            <w:r>
              <w:rPr>
                <w:b/>
                <w:sz w:val="22"/>
              </w:rPr>
              <w:t>Research Supervisor</w:t>
            </w:r>
          </w:p>
        </w:tc>
        <w:tc>
          <w:tcPr>
            <w:tcW w:type="dxa" w:w="4320"/>
          </w:tcPr>
          <w:p>
            <w:r>
              <w:t>[Supervisor Name]</w:t>
            </w:r>
          </w:p>
        </w:tc>
      </w:tr>
      <w:tr>
        <w:tc>
          <w:tcPr>
            <w:tcW w:type="dxa" w:w="4320"/>
            <w:shd w:fill="E8EEF4" w:val="clear"/>
          </w:tcPr>
          <w:p>
            <w:r>
              <w:rPr>
                <w:b/>
                <w:sz w:val="22"/>
              </w:rPr>
              <w:t>Document Date</w:t>
            </w:r>
          </w:p>
        </w:tc>
        <w:tc>
          <w:tcPr>
            <w:tcW w:type="dxa" w:w="4320"/>
          </w:tcPr>
          <w:p>
            <w:r>
              <w:t>25 August 2026</w:t>
            </w:r>
          </w:p>
        </w:tc>
      </w:tr>
      <w:tr>
        <w:tc>
          <w:tcPr>
            <w:tcW w:type="dxa" w:w="4320"/>
            <w:shd w:fill="E8EEF4" w:val="clear"/>
          </w:tcPr>
          <w:p>
            <w:r>
              <w:rPr>
                <w:b/>
                <w:sz w:val="22"/>
              </w:rPr>
              <w:t>Repository</w:t>
            </w:r>
          </w:p>
        </w:tc>
        <w:tc>
          <w:tcPr>
            <w:tcW w:type="dxa" w:w="4320"/>
          </w:tcPr>
          <w:p>
            <w:r>
              <w:t>github.com/Harishwaran18/brain-diseases-calssification</w:t>
            </w:r>
          </w:p>
        </w:tc>
      </w:tr>
    </w:tbl>
    <w:p>
      <w:r>
        <w:br w:type="page"/>
      </w:r>
    </w:p>
    <w:p>
      <w:pPr>
        <w:pStyle w:val="Heading1"/>
      </w:pPr>
      <w:r>
        <w:rPr>
          <w:color w:val="1F4E79"/>
        </w:rPr>
        <w:t>Table of Contents</w:t>
      </w:r>
    </w:p>
    <w:p>
      <w:pPr>
        <w:pStyle w:val="ListBullet"/>
      </w:pPr>
      <w:r>
        <w:rPr>
          <w:sz w:val="22"/>
        </w:rPr>
        <w:t>1. Introduction and Research Problem Statement</w:t>
      </w:r>
    </w:p>
    <w:p>
      <w:pPr>
        <w:pStyle w:val="ListBullet"/>
      </w:pPr>
      <w:r>
        <w:rPr>
          <w:sz w:val="22"/>
        </w:rPr>
        <w:t>2. Literature Review and Theoretical Foundation</w:t>
      </w:r>
    </w:p>
    <w:p>
      <w:pPr>
        <w:pStyle w:val="ListBullet"/>
      </w:pPr>
      <w:r>
        <w:rPr>
          <w:sz w:val="22"/>
        </w:rPr>
        <w:t>3. Research Methodology and Justification</w:t>
      </w:r>
    </w:p>
    <w:p>
      <w:pPr>
        <w:pStyle w:val="ListBullet"/>
      </w:pPr>
      <w:r>
        <w:rPr>
          <w:sz w:val="22"/>
        </w:rPr>
        <w:t>4. Data Collection and Analysis Procedures</w:t>
      </w:r>
    </w:p>
    <w:p>
      <w:pPr>
        <w:pStyle w:val="ListBullet"/>
      </w:pPr>
      <w:r>
        <w:rPr>
          <w:sz w:val="22"/>
        </w:rPr>
        <w:t>5. Implementation and Technical Specifications</w:t>
      </w:r>
    </w:p>
    <w:p>
      <w:pPr>
        <w:pStyle w:val="ListBullet"/>
      </w:pPr>
      <w:r>
        <w:rPr>
          <w:sz w:val="22"/>
        </w:rPr>
        <w:t>6. Experimental Findings and Iterative Refinements</w:t>
      </w:r>
    </w:p>
    <w:p>
      <w:pPr>
        <w:pStyle w:val="ListBullet"/>
      </w:pPr>
      <w:r>
        <w:rPr>
          <w:sz w:val="22"/>
        </w:rPr>
        <w:t>7. Challenges Encountered and Resolution Strategies</w:t>
      </w:r>
    </w:p>
    <w:p>
      <w:pPr>
        <w:pStyle w:val="ListBullet"/>
      </w:pPr>
      <w:r>
        <w:rPr>
          <w:sz w:val="22"/>
        </w:rPr>
        <w:t>8. Current Stage Assessment and Identified Gaps</w:t>
      </w:r>
    </w:p>
    <w:p>
      <w:pPr>
        <w:pStyle w:val="ListBullet"/>
      </w:pPr>
      <w:r>
        <w:rPr>
          <w:sz w:val="22"/>
        </w:rPr>
        <w:t>9. Research Timeline and Milestone Tracking</w:t>
      </w:r>
    </w:p>
    <w:p>
      <w:pPr>
        <w:pStyle w:val="ListBullet"/>
      </w:pPr>
      <w:r>
        <w:rPr>
          <w:sz w:val="22"/>
        </w:rPr>
        <w:t>10. Ethical Considerations and Limitations</w:t>
      </w:r>
    </w:p>
    <w:p>
      <w:pPr>
        <w:pStyle w:val="ListBullet"/>
      </w:pPr>
      <w:r>
        <w:rPr>
          <w:sz w:val="22"/>
        </w:rPr>
        <w:t>11. Future Work and Research Directions</w:t>
      </w:r>
    </w:p>
    <w:p>
      <w:pPr>
        <w:pStyle w:val="ListBullet"/>
      </w:pPr>
      <w:r>
        <w:rPr>
          <w:sz w:val="22"/>
        </w:rPr>
        <w:t>12. Conclusion</w:t>
      </w:r>
    </w:p>
    <w:p>
      <w:pPr>
        <w:pStyle w:val="ListBullet"/>
      </w:pPr>
      <w:r>
        <w:rPr>
          <w:sz w:val="22"/>
        </w:rPr>
        <w:t>Appendix A: Complete Disease Taxonomy (36 Classes with References)</w:t>
      </w:r>
    </w:p>
    <w:p>
      <w:pPr>
        <w:pStyle w:val="ListBullet"/>
      </w:pPr>
      <w:r>
        <w:rPr>
          <w:sz w:val="22"/>
        </w:rPr>
        <w:t>Appendix B: Feature Vector Specification (43 Features)</w:t>
      </w:r>
    </w:p>
    <w:p>
      <w:pPr>
        <w:pStyle w:val="ListBullet"/>
      </w:pPr>
      <w:r>
        <w:rPr>
          <w:sz w:val="22"/>
        </w:rPr>
        <w:t>Appendix C: Configuration Files</w:t>
      </w:r>
    </w:p>
    <w:p>
      <w:pPr>
        <w:pStyle w:val="ListBullet"/>
      </w:pPr>
      <w:r>
        <w:rPr>
          <w:sz w:val="22"/>
        </w:rPr>
        <w:t>Appendix D: Test Coverage Summary</w:t>
      </w:r>
    </w:p>
    <w:p>
      <w:pPr>
        <w:pStyle w:val="ListBullet"/>
      </w:pPr>
      <w:r>
        <w:rPr>
          <w:sz w:val="22"/>
        </w:rPr>
        <w:t>Appendix E: File Structure Reference</w:t>
      </w:r>
    </w:p>
    <w:p>
      <w:pPr>
        <w:pStyle w:val="ListBullet"/>
      </w:pPr>
      <w:r>
        <w:rPr>
          <w:sz w:val="22"/>
        </w:rPr>
        <w:t>Appendix F: Dependency List</w:t>
      </w:r>
    </w:p>
    <w:p>
      <w:r>
        <w:br w:type="page"/>
      </w:r>
    </w:p>
    <w:p>
      <w:pPr>
        <w:pStyle w:val="Heading1"/>
      </w:pPr>
      <w:r>
        <w:rPr>
          <w:color w:val="1F4E79"/>
        </w:rPr>
        <w:t>1. Introduction and Research Problem Statement</w:t>
      </w:r>
    </w:p>
    <w:p>
      <w:pPr>
        <w:pStyle w:val="Heading2"/>
      </w:pPr>
      <w:r>
        <w:rPr>
          <w:color w:val="1F4E79"/>
        </w:rPr>
        <w:t>1.1 Background and Clinical Context</w:t>
      </w:r>
    </w:p>
    <w:p>
      <w:pPr>
        <w:spacing w:after="160" w:line="276" w:lineRule="auto"/>
      </w:pPr>
      <w:r>
        <w:rPr>
          <w:sz w:val="22"/>
        </w:rPr>
        <w:t>Neurodegenerative diseases represent one of the most pressing public health challenges of the twenty-first century. Conditions such as Alzheimer's disease, Parkinson's disease, multiple sclerosis, and amyotrophic lateral sclerosis collectively affect hundreds of millions of individuals worldwide, with prevalence projected to rise dramatically as global populations age. Magnetic resonance imaging (MRI) is the cornerstone modality for non-invasive brain assessment, providing detailed anatomical information that enables clinicians to detect structural abnormalities, monitor disease progression, and evaluate treatment response. However, the interpretation of brain MRI scans remains a labour-intensive process that requires highly specialised neuroradiological expertise, which is scarce in many clinical settings, particularly in low- and middle-income regions.</w:t>
      </w:r>
    </w:p>
    <w:p>
      <w:pPr>
        <w:spacing w:after="160" w:line="276" w:lineRule="auto"/>
      </w:pPr>
      <w:r>
        <w:rPr>
          <w:sz w:val="22"/>
        </w:rPr>
        <w:t>In recent years, deep learning approaches have demonstrated remarkable capabilities in automating aspects of medical image analysis, including brain tumour segmentation, stroke detection, and neurodegenerative disease classification. These approaches, however, share a fundamental limitation: they depend on large quantities of expert-annotated training data. For rare neurological conditions, annotated datasets may contain fewer than one hundred cases, making conventional supervised training impractical. Furthermore, the heterogeneity of MRI acquisition protocols across scanners, field strengths, and institutions creates domain-shift problems that degrade model performance when deployed in new clinical environments. Retraining models for each new scanner or disease subtype requires additional annotated data, computational resources, and time, creating a persistent barrier to clinical adoption.</w:t>
      </w:r>
    </w:p>
    <w:p>
      <w:pPr>
        <w:pStyle w:val="Heading2"/>
      </w:pPr>
      <w:r>
        <w:rPr>
          <w:color w:val="1F4E79"/>
        </w:rPr>
        <w:t>1.2 Problem Statement</w:t>
      </w:r>
    </w:p>
    <w:p>
      <w:pPr>
        <w:spacing w:after="160" w:line="276" w:lineRule="auto"/>
      </w:pPr>
      <w:r>
        <w:rPr>
          <w:sz w:val="22"/>
        </w:rPr>
        <w:t>The central research problem addressed by this work is the following: can a retraining-free artificial intelligence framework, leveraging foundation segmentation models with test-time adaptation, achieve clinically meaningful brain disease classification and computational therapy evaluation without requiring disease-specific annotated training data? This question decomposes into several sub-problems. First, can the Segment Anything Model (SAM), pre-trained on natural images, produce anatomically valid brain tissue segmentation when applied to MRI in a zero-shot manner? Second, can 2D slice-wise segmentation outputs be reliably reconstructed into 3D volumetric representations suitable for clinical assessment? Third, can a feature-based disease classifier, trained on transparent synthetic data derived from established clinical diagnostic criteria, achieve clinically useful differential diagnosis across a broad spectrum of neurological conditions? Fourth, can computational therapy simulation, grounded in spatial lesion analysis and diffusion-based propagation modelling, provide meaningful predictions about treatment outcomes?</w:t>
      </w:r>
    </w:p>
    <w:p>
      <w:pPr>
        <w:spacing w:after="160" w:line="276" w:lineRule="auto"/>
      </w:pPr>
      <w:r>
        <w:rPr>
          <w:sz w:val="22"/>
        </w:rPr>
        <w:t>The overarching hypothesis is that a retraining-free paradigm, combining zero-shot foundation model segmentation with interpretable feature-based classification and physics-informed therapy simulation, can address the data scarcity bottleneck while maintaining the transparency and explainability required for clinical trust. Unlike end-to-end black-box models that map raw voxels to disease labels, the proposed framework decomposes the diagnostic process into explicit, inspectable stages, each grounded in established neuroanatomical principles and clinical diagnostic criteria.</w:t>
      </w:r>
    </w:p>
    <w:p>
      <w:pPr>
        <w:pStyle w:val="Heading2"/>
      </w:pPr>
      <w:r>
        <w:rPr>
          <w:color w:val="1F4E79"/>
        </w:rPr>
        <w:t>1.3 Research Objectives</w:t>
      </w:r>
    </w:p>
    <w:p>
      <w:pPr>
        <w:spacing w:after="160" w:line="276" w:lineRule="auto"/>
      </w:pPr>
      <w:r>
        <w:rPr>
          <w:sz w:val="22"/>
        </w:rPr>
        <w:t>The specific objectives of this research are:</w:t>
      </w:r>
    </w:p>
    <w:p>
      <w:pPr>
        <w:pStyle w:val="ListNumber"/>
        <w:spacing w:after="80"/>
      </w:pPr>
      <w:r>
        <w:rPr>
          <w:sz w:val="22"/>
        </w:rPr>
        <w:t>To develop a retraining-free segmentation pipeline that applies the Segment Anything Model (SAM ViT-B) to brain MRI volumes in zero-shot mode, with optional test-time adaptation for context-aware refinement, producing per-tissue labels (gray matter, white matter, CSF, lesion) without requiring any disease-specific annotated training data.</w:t>
      </w:r>
    </w:p>
    <w:p>
      <w:pPr>
        <w:pStyle w:val="ListNumber"/>
        <w:spacing w:after="80"/>
      </w:pPr>
      <w:r>
        <w:rPr>
          <w:sz w:val="22"/>
        </w:rPr>
        <w:t>To implement a 3D volumetric reconstruction module that stacks 2D segmented slices into isotropic 3D volumes and extracts per-tissue polygonal meshes using Marching Cubes isosurface extraction, with volumetric metrics computation including volume, surface area, and atrophy ratios.</w:t>
      </w:r>
    </w:p>
    <w:p>
      <w:pPr>
        <w:pStyle w:val="ListNumber"/>
        <w:spacing w:after="80"/>
      </w:pPr>
      <w:r>
        <w:rPr>
          <w:sz w:val="22"/>
        </w:rPr>
        <w:t>To design and train a 36-disease classification model using a 5-seed ensemble of deep residual multi-layer perceptrons (MLPs) with self-attention gating, operating on 43 interpretable anatomical features, trained on synthetic data derived from clinical diagnostic signatures grounded in peer-reviewed literature.</w:t>
      </w:r>
    </w:p>
    <w:p>
      <w:pPr>
        <w:pStyle w:val="ListNumber"/>
        <w:spacing w:after="80"/>
      </w:pPr>
      <w:r>
        <w:rPr>
          <w:sz w:val="22"/>
        </w:rPr>
        <w:t>To build a computational therapy evaluation module that performs spatial lesion analysis, simulates therapeutic intervention using a Gaussian diffusion kernel, and computes a multi-objective compatibility score combining coverage, risk, and recovery potential.</w:t>
      </w:r>
    </w:p>
    <w:p>
      <w:pPr>
        <w:pStyle w:val="ListNumber"/>
        <w:spacing w:after="80"/>
      </w:pPr>
      <w:r>
        <w:rPr>
          <w:sz w:val="22"/>
        </w:rPr>
        <w:t>To deploy the complete framework as an interactive web application with 3D visualisation, real-time therapy simulation, and comprehensive statistical model evaluation, making the research accessible to clinical users without programming expertise.</w:t>
      </w:r>
    </w:p>
    <w:p>
      <w:pPr>
        <w:pStyle w:val="Heading2"/>
      </w:pPr>
      <w:r>
        <w:rPr>
          <w:color w:val="1F4E79"/>
        </w:rPr>
        <w:t>1.4 Problem Evolution Tracking</w:t>
      </w:r>
    </w:p>
    <w:p>
      <w:pPr>
        <w:spacing w:after="160" w:line="276" w:lineRule="auto"/>
      </w:pPr>
      <w:r>
        <w:rPr>
          <w:sz w:val="22"/>
        </w:rPr>
        <w:t>The research problem evolved through five distinct phases, each triggered by specific findings or limitations encountered during development. The progression is documented in the repository's commit history, which comprises 22 commits spanning the period from 11 August 2026 to 24 August 2026.</w:t>
      </w:r>
    </w:p>
    <w:p>
      <w:pPr>
        <w:spacing w:after="160" w:line="276" w:lineRule="auto"/>
      </w:pPr>
      <w:r>
        <w:rPr>
          <w:sz w:val="22"/>
        </w:rPr>
        <w:t>Phase 1 (Foundation) established the core retraining-free pipeline architecture, implementing the four-stage flow from MRI input through segmentation, reconstruction, and evaluation. The initial implementation used a synthetic brain phantom for testing, which allowed rapid iteration on the pipeline logic without the complexity of real MRI data handling. This phase confirmed the feasibility of the retraining-free approach but revealed that synthetic phantoms lacked the anatomical realism needed to validate segmentation quality, motivating the transition to real brain data in Phase 2.</w:t>
      </w:r>
    </w:p>
    <w:p>
      <w:pPr>
        <w:spacing w:after="160" w:line="276" w:lineRule="auto"/>
      </w:pPr>
      <w:r>
        <w:rPr>
          <w:sz w:val="22"/>
        </w:rPr>
        <w:t>Phase 2 (Real Brain) replaced the synthetic phantom with the ICBM152 nonlinear asymmetric template, a widely-used standard brain in neuroimaging research, combined with the FreeSurfer fsaverage cortical surface for anatomical parcellation. This transition was triggered by the observation that segmentation results on synthetic data could not be meaningfully evaluated for anatomical plausibility. The ICBM152 template provided real T1-weighted MRI intensity distributions, realistic tissue boundaries, and anatomically accurate structural relationships, enabling meaningful validation of the SAM segmentation quality.</w:t>
      </w:r>
    </w:p>
    <w:p>
      <w:pPr>
        <w:spacing w:after="160" w:line="276" w:lineRule="auto"/>
      </w:pPr>
      <w:r>
        <w:rPr>
          <w:sz w:val="22"/>
        </w:rPr>
        <w:t>Phase 3 (Classification Expansion) saw the disease taxonomy grow from an initial set of 10 diseases through 21 to the final 36 classes. Each expansion was driven by the realisation that confusable disease pairs (diseases with overlapping anatomical features) required representation in the taxonomy to enable meaningful differential diagnosis. For example, the addition of CADASIL, vascular dementia, and multiple sclerosis as distinct classes — all characterised by periventricular white-matter lesions — forced the classifier to learn the subtle distinguishing features (anterior temporal pole involvement in CADASIL, Dawson's fingers in MS, lacunar infarct distribution in VaD) rather than relying on the mere presence of white-matter abnormalities.</w:t>
      </w:r>
    </w:p>
    <w:p>
      <w:pPr>
        <w:spacing w:after="160" w:line="276" w:lineRule="auto"/>
      </w:pPr>
      <w:r>
        <w:rPr>
          <w:sz w:val="22"/>
        </w:rPr>
        <w:t>Phase 4 (Evaluation Rigour) introduced the comprehensive statistical evaluation dashboard and the 5-seed ensemble architecture. This phase was triggered by the recognition that a single accuracy number was insufficient for a research-grade evaluation. The ensemble was expanded from 3 to 5 members (later reverted to 3 in the final implementation) with the addition of mixup augmentation, label smoothing, and stratified validation splits to improve generalisation and calibration. The statistical dashboard added confusion matrix analysis, F-tests, chi-square tests, ROC curves, precision-recall curves, calibration analysis, and top-K accuracy metrics.</w:t>
      </w:r>
    </w:p>
    <w:p>
      <w:pPr>
        <w:spacing w:after="160" w:line="276" w:lineRule="auto"/>
      </w:pPr>
      <w:r>
        <w:rPr>
          <w:sz w:val="22"/>
        </w:rPr>
        <w:t>Phase 5 (Deployment and Documentation) focused on making the framework portable and accessible. All asset paths were converted to relative paths using Path(__file__) resolution, enabling deployment on cloud platforms where the working directory differs from the repository root. Cloud deployment configurations were added for Streamlit Community Cloud and Render, and comprehensive documentation was generated. This phase was triggered by the need to make the research reproducible and accessible to external reviewers and clinical collaborators.</w:t>
      </w:r>
    </w:p>
    <w:p>
      <w:r>
        <w:br w:type="page"/>
      </w:r>
    </w:p>
    <w:p>
      <w:pPr>
        <w:pStyle w:val="Heading1"/>
      </w:pPr>
      <w:r>
        <w:rPr>
          <w:color w:val="1F4E79"/>
        </w:rPr>
        <w:t>2. Literature Review and Theoretical Foundation</w:t>
      </w:r>
    </w:p>
    <w:p>
      <w:pPr>
        <w:pStyle w:val="Heading2"/>
      </w:pPr>
      <w:r>
        <w:rPr>
          <w:color w:val="1F4E79"/>
        </w:rPr>
        <w:t>2.1 Foundation Models and Zero-Shot Segmentation</w:t>
      </w:r>
    </w:p>
    <w:p>
      <w:pPr>
        <w:spacing w:after="160" w:line="276" w:lineRule="auto"/>
      </w:pPr>
      <w:r>
        <w:rPr>
          <w:sz w:val="22"/>
        </w:rPr>
        <w:t>The introduction of large-scale foundation models has fundamentally reshaped the landscape of computer vision. The Segment Anything Model (SAM), introduced by Kirillov et al. at the IEEE/CVF International Conference on Computer Vision (ICCV) in 2023, represents a paradigm shift in image segmentation. SAM was trained on the SA-1B dataset, comprising over one billion masks on 11 million images, using a promptable segmentation architecture that accepts points, boxes, and text as input prompts. The model's key innovation is its zero-shot generalisation capability: it can segment objects in images that were not present during training, including medical images, without any fine-tuning or retraining.</w:t>
      </w:r>
    </w:p>
    <w:p>
      <w:pPr>
        <w:spacing w:after="160" w:line="276" w:lineRule="auto"/>
      </w:pPr>
      <w:r>
        <w:rPr>
          <w:sz w:val="22"/>
        </w:rPr>
        <w:t>Several works have explored applying SAM to medical imaging. MedSAM, developed by Ma et al. (2024), fine-tuned SAM on over one million medical image-mask pairs spanning multiple modalities and anatomical structures. While MedSAM demonstrated improved performance on medical images, it required a large-scale fine-tuning process, partially undermining the retraining-free advantage. SAM-Med2D, introduced by Cheng et al. (2023), applied parameter-efficient fine-tuning with LoRA adapters to adapt SAM for 2D medical image segmentation. These approaches, while effective, still require curated medical training data and domain-specific adaptation, which the present framework explicitly avoids.</w:t>
      </w:r>
    </w:p>
    <w:p>
      <w:pPr>
        <w:spacing w:after="160" w:line="276" w:lineRule="auto"/>
      </w:pPr>
      <w:r>
        <w:rPr>
          <w:sz w:val="22"/>
        </w:rPr>
        <w:t>The NeuroCure framework distinguishes itself from these prior works by applying SAM in a purely zero-shot manner, without any fine-tuning, and by focusing specifically on brain MRI tissue segmentation using intensity-ranked label assignment. This approach leverages the known intensity ordering of brain tissues in T1-weighted MRI (CSF appears dark, gray matter is intermediate, white matter is bright) to assign anatomically meaningful labels to SAM's unlabeled binary masks, without requiring any annotated training data. The trade-off is that this approach is specific to T1-weighted MRI and may not generalise to other sequences (T2, FLAIR, diffusion) without modification, a limitation that is transparently acknowledged in this document.</w:t>
      </w:r>
    </w:p>
    <w:p>
      <w:pPr>
        <w:pStyle w:val="Heading2"/>
      </w:pPr>
      <w:r>
        <w:rPr>
          <w:color w:val="1F4E79"/>
        </w:rPr>
        <w:t>2.2 Test-Time Adaptation</w:t>
      </w:r>
    </w:p>
    <w:p>
      <w:pPr>
        <w:spacing w:after="160" w:line="276" w:lineRule="auto"/>
      </w:pPr>
      <w:r>
        <w:rPr>
          <w:sz w:val="22"/>
        </w:rPr>
        <w:t>Test-time adaptation (TTA) is a technique that allows models to adapt to new data distributions at inference time, without modifying the pre-trained weights or requiring labelled target-domain data. The seminal TENT method, introduced by Wang et al. (2021), minimises prediction entropy at test time by updating only the batch normalisation statistics and affine parameters. Subsequent works extended TTA with consistency regularisation, pseudo-labelling, and diversity preservation.</w:t>
      </w:r>
    </w:p>
    <w:p>
      <w:pPr>
        <w:spacing w:after="160" w:line="276" w:lineRule="auto"/>
      </w:pPr>
      <w:r>
        <w:rPr>
          <w:sz w:val="22"/>
        </w:rPr>
        <w:t>The NeuroCure framework implements an optional TTA module that adapts SAM's IoU token parameters using three complementary consistency signals. The first signal is prediction entropy, which measures the model's confidence: low entropy indicates confident, potentially correct predictions, while high entropy suggests uncertainty that may benefit from adaptation. The second signal is IoU uncertainty, which captures the disagreement between the predicted IoU score and the actual mask quality. The third signal is dual-scale consistency, which compares predictions at full resolution with predictions on a downsampled version of the same image: agreement between scales suggests robust predictions, while disagreement indicates sensitivity to resolution that may benefit from adaptation. The TTA is configured with a very low learning rate (1×10⁻⁵) and exponential moving average decay (0.999) to ensure stable, conservative adaptation that does not catastrophically forget the pre-trained knowledge.</w:t>
      </w:r>
    </w:p>
    <w:p>
      <w:pPr>
        <w:pStyle w:val="Heading2"/>
      </w:pPr>
      <w:r>
        <w:rPr>
          <w:color w:val="1F4E79"/>
        </w:rPr>
        <w:t>2.3 3D Reconstruction and Marching Cubes</w:t>
      </w:r>
    </w:p>
    <w:p>
      <w:pPr>
        <w:spacing w:after="160" w:line="276" w:lineRule="auto"/>
      </w:pPr>
      <w:r>
        <w:rPr>
          <w:sz w:val="22"/>
        </w:rPr>
        <w:t>The reconstruction of 3D surfaces from volumetric data is a well-established problem in medical imaging. The Marching Cubes algorithm, introduced by Lorensen and Cline in 1987, remains the most widely used method for isosurface extraction from medical volumes. The algorithm iterates over each voxel in the volume, determines how the isosurface intersects the voxel cube based on the scalar values at the eight corners, and generates triangular faces accordingly using a pre-computed lookup table of 256 possible intersection patterns (reduced to 15 unique configurations after symmetry). The Flying Edges algorithm, introduced by Schroeder et al. in 2015, provides a more efficient alternative that processes data along edges rather than voxels, achieving better cache performance and parallelism, but producing equivalent mesh quality.</w:t>
      </w:r>
    </w:p>
    <w:p>
      <w:pPr>
        <w:spacing w:after="160" w:line="276" w:lineRule="auto"/>
      </w:pPr>
      <w:r>
        <w:rPr>
          <w:sz w:val="22"/>
        </w:rPr>
        <w:t>The NeuroCure framework uses Marching Cubes with a level value of 0.5 (the midpoint of the binary mask) and per-label extraction, meaning that a separate mesh is generated for each tissue class (gray matter, white matter, CSF, lesion). Post-processing applies Laplacian smoothing with 3 iterations and a lambda value of 0.5, which reduces the staircase artifacts inherent in voxel-based mesh extraction. Laplacian smoothing works by moving each vertex towards the centroid of its neighbours, effectively low-pass filtering the mesh geometry. The choice of 3 iterations represents a balance between smoothness and anatomical fidelity: fewer iterations leave visible staircase artifacts, while more iterations cause excessive mesh shrinkage and loss of fine structural detail. The framework also supports the Flying Edges algorithm as a configuration option, though Marching Cubes is used as the default for its simplicity and broad implementation availability in the scikit-image library.</w:t>
      </w:r>
    </w:p>
    <w:p>
      <w:pPr>
        <w:pStyle w:val="Heading2"/>
      </w:pPr>
      <w:r>
        <w:rPr>
          <w:color w:val="1F4E79"/>
        </w:rPr>
        <w:t>2.4 Brain Disease Classification</w:t>
      </w:r>
    </w:p>
    <w:p>
      <w:pPr>
        <w:spacing w:after="160" w:line="276" w:lineRule="auto"/>
      </w:pPr>
      <w:r>
        <w:rPr>
          <w:sz w:val="22"/>
        </w:rPr>
        <w:t>The classification of brain diseases from MRI data has been approached using various methods in the literature. Early approaches used hand-crafted radiomic features (texture, shape, intensity statistics) with traditional machine learning classifiers (SVM, random forest, logistic regression). More recent approaches use convolutional neural networks (CNNs) operating directly on 3D MRI volumes, including 3D ResNet, DenseNet3D, and slice-ensemble architectures that process 2D slices independently and aggregate predictions. These CNN-based approaches, while achieving high accuracy on well-curated datasets, require large training sets (typically thousands of labelled scans per disease category) and are limited to the diseases present in the training data.</w:t>
      </w:r>
    </w:p>
    <w:p>
      <w:pPr>
        <w:spacing w:after="160" w:line="276" w:lineRule="auto"/>
      </w:pPr>
      <w:r>
        <w:rPr>
          <w:sz w:val="22"/>
        </w:rPr>
        <w:t>The NeuroCure framework takes a fundamentally different approach: rather than operating on raw voxels, it extracts 43 interpretable anatomical features from the segmented and reconstructed brain volume and feeds these into an ensemble of deep residual MLPs with self-attention gating. This approach is motivated by the observation that clinical diagnosis itself is fundamentally a feature-based process: neuroradiologists do not examine every voxel but rather assess specific anatomical features (lesion location, size, distribution pattern, laterality, tissue involvement) and match these against known disease signatures. By making the feature extraction explicit, the framework achieves interpretability that voxel-based CNNs lack, and by training on synthetic data derived from clinical diagnostic criteria, it avoids the need for large annotated datasets. The trade-off is that the 43 features must be carefully designed to capture clinically relevant information, and the approach cannot discover novel patterns that are not represented in the feature set.</w:t>
      </w:r>
    </w:p>
    <w:p>
      <w:pPr>
        <w:pStyle w:val="Heading2"/>
      </w:pPr>
      <w:r>
        <w:rPr>
          <w:color w:val="1F4E79"/>
        </w:rPr>
        <w:t>2.5 Disease Taxonomy and Clinical References</w:t>
      </w:r>
    </w:p>
    <w:p>
      <w:pPr>
        <w:spacing w:after="160" w:line="276" w:lineRule="auto"/>
      </w:pPr>
      <w:r>
        <w:rPr>
          <w:sz w:val="22"/>
        </w:rPr>
        <w:t>The 36-disease taxonomy embedded in the framework is grounded in established clinical diagnostic criteria and peer-reviewed literature. Each disease class is defined by a DiseaseSignature data structure containing the disease name, ICD-11 code, preferred brain regions, lesion pattern, laterality, typical size range, region count range, clinical summary, and two or more bibliographic references. The taxonomy spans four major categories: neurodegenerative diseases (Alzheimer's, Parkinson's, Huntington's, ALS, frontotemporal dementia, Lewy body dementia, progressive supranuclear palsy, corticobasal degeneration, multiple system atrophy), vascular diseases (stroke, MCA infarction, vascular dementia, CADASIL, subdural haematoma, epidural haematoma, subarachnoid haemorrhage), demyelinating and infectious diseases (multiple sclerosis, PML, CPM, brain abscess, Creutzfeldt-Jakob disease), and neoplastic/structural diseases (glioma, meningioma, metastasis, pituitary adenoma, vestibular schwannoma, colloid cyst, arachnoid cyst, AVM, cavernoma, radiation necrosis).</w:t>
      </w:r>
    </w:p>
    <w:p>
      <w:pPr>
        <w:spacing w:after="160" w:line="276" w:lineRule="auto"/>
      </w:pPr>
      <w:r>
        <w:rPr>
          <w:sz w:val="22"/>
        </w:rPr>
        <w:t>The selection of these 36 diseases was driven by three criteria: clinical prevalence (common diseases must be represented for the classifier to be clinically useful), MRI visibility (diseases that produce detectable structural changes on T1-weighted MRI are prioritised, as the framework currently supports only this sequence), and diagnostic criteria availability (diseases with well-established, published diagnostic criteria were preferred, as these form the basis for the synthetic training data generation). Diseases that were considered but excluded include psychiatric disorders without clear structural MRI correlates (schizophrenia, major depression), purely functional disorders, and conditions requiring advanced MRI sequences for detection (e.g., microbleeds requiring SWI, acute infarcts requiring DWI). These exclusions are acknowledged as limitations of the current scope.</w:t>
      </w:r>
    </w:p>
    <w:p>
      <w:r>
        <w:br w:type="page"/>
      </w:r>
    </w:p>
    <w:p>
      <w:pPr>
        <w:pStyle w:val="Heading1"/>
      </w:pPr>
      <w:r>
        <w:rPr>
          <w:color w:val="1F4E79"/>
        </w:rPr>
        <w:t>3. Research Methodology and Justification</w:t>
      </w:r>
    </w:p>
    <w:p>
      <w:pPr>
        <w:pStyle w:val="Heading2"/>
      </w:pPr>
      <w:r>
        <w:rPr>
          <w:color w:val="1F4E79"/>
        </w:rPr>
        <w:t>3.1 Retraining-Free Segmentation (SAM + TTA)</w:t>
      </w:r>
    </w:p>
    <w:p>
      <w:pPr>
        <w:spacing w:after="160" w:line="276" w:lineRule="auto"/>
      </w:pPr>
      <w:r>
        <w:rPr>
          <w:sz w:val="22"/>
        </w:rPr>
        <w:t>The segmentation methodology is the foundational component of the framework, as all subsequent stages depend on the quality of the tissue segmentation. The approach uses the Segment Anything Model (SAM) with the ViT-B (Vision Transformer Base) backbone, applied to 2D axial slices extracted from the 3D MRI volume. The ViT-B variant was selected over the larger ViT-L and ViT-H variants based on three considerations. First, computational efficiency: ViT-B requires approximately 91 million parameters, compared to 308 million for ViT-L and 636 million for ViT-H, resulting in significantly faster inference, which is critical for an interactive web application. Second, deployment feasibility: the ViT-B checkpoint is 358 MB, small enough to bundle with the application or download on demand, while ViT-H requires 2.4 GB. Third, published benchmarks indicate that the performance difference between ViT-B and ViT-H on medical image segmentation is modest, as the zero-shot nature of the approach means that larger models do not necessarily produce better results on out-of-distribution medical images.</w:t>
      </w:r>
    </w:p>
    <w:p>
      <w:pPr>
        <w:spacing w:after="160" w:line="276" w:lineRule="auto"/>
      </w:pPr>
      <w:r>
        <w:rPr>
          <w:sz w:val="22"/>
        </w:rPr>
        <w:t>The segmentation pipeline operates as follows. First, the 3D MRI volume is sliced along the axial axis (slice_axis=2), producing a series of 2D images. Each slice is converted to 8-bit unsigned integer format and normalised to the 0-255 range. Second, automatic prompts are generated using a uniform grid strategy: grid points are placed at regular intervals of 64 pixels across the slice, with a maximum of 12 points per slice. A bounding box is derived from intensity gradient analysis, which identifies the brain region by detecting the sharp intensity transition at the skull-brain boundary. Third, SAM processes each slice with the grid points and bounding box as prompts, producing a set of binary masks with associated IoU (Intersection over Union) prediction scores. Fourth, the masks are assigned tissue labels using intensity ranking: masks are sorted by their mean intensity within the original MRI slice, and the lowest-intensity mask is labelled CSF, the next gray matter, the next white matter, and any remaining high-intensity or spatially isolated mask is labelled lesion. This intensity ranking approach leverages the known T1-weighted MRI intensity ordering of brain tissues. Fifth, post-processing is applied: the largest connected component is retained for each label (to remove noise artifacts), holes are filled using morphological operations, smoothing is applied with a Gaussian sigma of 1.0, and components smaller than 50 voxels are removed.</w:t>
      </w:r>
    </w:p>
    <w:p>
      <w:pPr>
        <w:spacing w:after="160" w:line="276" w:lineRule="auto"/>
      </w:pPr>
      <w:r>
        <w:rPr>
          <w:sz w:val="22"/>
        </w:rPr>
        <w:t>The optional test-time adaptation (TTA) module refines SAM's segmentation at inference time. TTA adapts only the IoU token parameters of SAM — a tiny set of affine parameters that control the model's mask quality prediction — using three consistency signals. Prediction entropy is computed as the Shannon entropy of the softmax distribution over mask quality predictions; high entropy indicates uncertainty that may benefit from adaptation. IoU uncertainty captures the disagreement between predicted and observed IoU scores. Dual-scale consistency compares predictions at full resolution with predictions on a 0.5x downsampled image; disagreement indicates resolution sensitivity. The adaptation uses 3 steps with a learning rate of 1×10⁻⁵ and an exponential moving average decay of 0.999, ensuring that the adaptation is conservative and does not catastrophically alter the pre-trained model behaviour. TTA is disabled by default in the configuration, as it adds computational overhead and its benefit on brain MRI has not been fully quantified through ablation studies. This is acknowledged as a gap in the current evaluation.</w:t>
      </w:r>
    </w:p>
    <w:p>
      <w:pPr>
        <w:spacing w:before="80" w:after="80"/>
        <w:ind w:left="432"/>
      </w:pPr>
      <w:r>
        <w:rPr>
          <w:rFonts w:ascii="Courier New" w:hAnsi="Courier New"/>
          <w:color w:val="202020"/>
          <w:sz w:val="18"/>
        </w:rPr>
        <w:t># Segmentation configuration (configs/segmentation.yaml)</w:t>
        <w:br/>
        <w:t>segmentation:</w:t>
        <w:br/>
        <w:t xml:space="preserve">  sam:</w:t>
        <w:br/>
        <w:t xml:space="preserve">    model_type: vit_b</w:t>
        <w:br/>
        <w:t xml:space="preserve">  inference:</w:t>
        <w:br/>
        <w:t xml:space="preserve">    slice_axis: 2</w:t>
        <w:br/>
        <w:t xml:space="preserve">    multimask_output: true</w:t>
        <w:br/>
        <w:t xml:space="preserve">    mask_threshold: 0.5</w:t>
        <w:br/>
        <w:t xml:space="preserve">    label_assignment:</w:t>
        <w:br/>
        <w:t xml:space="preserve">      classes: [background, gray_matter, white_matter, csf, lesion]</w:t>
        <w:br/>
        <w:t xml:space="preserve">      strategy: intensity_ranking</w:t>
        <w:br/>
        <w:t xml:space="preserve">  prompts:</w:t>
        <w:br/>
        <w:t xml:space="preserve">    auto: true</w:t>
        <w:br/>
        <w:t xml:space="preserve">    strategy: grid</w:t>
        <w:br/>
        <w:t xml:space="preserve">    grid_spacing: 64</w:t>
        <w:br/>
        <w:t xml:space="preserve">    max_points: 12</w:t>
        <w:br/>
        <w:t xml:space="preserve">    use_bbox: true</w:t>
        <w:br/>
        <w:t xml:space="preserve">    bbox_from: intensity</w:t>
        <w:br/>
        <w:t xml:space="preserve">  tta:</w:t>
        <w:br/>
        <w:t xml:space="preserve">    enabled: false</w:t>
        <w:br/>
        <w:t xml:space="preserve">    steps: 3</w:t>
        <w:br/>
        <w:t xml:space="preserve">    lr: 1.0e-5</w:t>
        <w:br/>
        <w:t xml:space="preserve">    ema_decay: 0.999</w:t>
        <w:br/>
        <w:t xml:space="preserve">    signals: [entropy, iou_uncertainty, dual_scale_consistency]</w:t>
        <w:br/>
        <w:t xml:space="preserve">  postprocess:</w:t>
        <w:br/>
        <w:t xml:space="preserve">    largest_cc: true</w:t>
        <w:br/>
        <w:t xml:space="preserve">    fill_holes: true</w:t>
        <w:br/>
        <w:t xml:space="preserve">    smoothing_sigma: 1.0</w:t>
        <w:br/>
        <w:t xml:space="preserve">    min_voxel_count: 50</w:t>
      </w:r>
    </w:p>
    <w:p>
      <w:pPr>
        <w:ind w:left="432"/>
      </w:pPr>
      <w:r>
        <w:rPr>
          <w:i/>
          <w:color w:val="555555"/>
          <w:sz w:val="16"/>
        </w:rPr>
        <w:t>[YAML]</w:t>
      </w:r>
    </w:p>
    <w:p>
      <w:pPr>
        <w:pStyle w:val="Heading2"/>
      </w:pPr>
      <w:r>
        <w:rPr>
          <w:color w:val="1F4E79"/>
        </w:rPr>
        <w:t>3.2 3D Volumetric Reconstruction</w:t>
      </w:r>
    </w:p>
    <w:p>
      <w:pPr>
        <w:spacing w:after="160" w:line="276" w:lineRule="auto"/>
      </w:pPr>
      <w:r>
        <w:rPr>
          <w:sz w:val="22"/>
        </w:rPr>
        <w:t>The reconstruction methodology converts the 2D slice-wise segmentation outputs into a 3D volumetric representation and extracts polygonal meshes for visualisation and metric computation. The process begins with slice stacking: the 2D segmented slices are concatenated along the axial axis to form a 3D label volume. If the original MRI had non-isotropic voxel spacing (e.g., 1×1×2 mm, common in clinical acquisitions), the volume is resampled to isotropic 1×1×1 mm spacing using linear interpolation for the intensity image and nearest-neighbour interpolation for the label volume (to avoid creating intermediate label values). Gaps between slices, which can occur if the slice thickness exceeds the in-plane resolution, are filled using morphological interpolation: the gap region is dilated from the nearest non-empty slice and assigned the majority label.</w:t>
      </w:r>
    </w:p>
    <w:p>
      <w:pPr>
        <w:spacing w:after="160" w:line="276" w:lineRule="auto"/>
      </w:pPr>
      <w:r>
        <w:rPr>
          <w:sz w:val="22"/>
        </w:rPr>
        <w:t>Isosurface extraction is performed using the Marching Cubes algorithm at a level value of 0.5, which corresponds to the boundary of the binary mask for each tissue label. A separate mesh is extracted for each tissue class (per_label=true), producing four meshes: gray matter, white matter, CSF, and lesion. Each mesh consists of a set of vertices and triangular faces describing the 3D surface of the tissue. The step_size parameter is set to 1, meaning that every voxel is considered; larger step sizes would produce coarser but faster meshes. After extraction, Laplacian smoothing is applied with 3 iterations and a lambda value of 0.5. Laplacian smoothing updates each vertex position by moving it a fraction (lambda) towards the average position of its neighbours, effectively low-pass filtering the mesh geometry and reducing the staircase artifacts that are inherent in voxel-based isosurface extraction.</w:t>
      </w:r>
    </w:p>
    <w:p>
      <w:pPr>
        <w:spacing w:after="160" w:line="276" w:lineRule="auto"/>
      </w:pPr>
      <w:r>
        <w:rPr>
          <w:sz w:val="22"/>
        </w:rPr>
        <w:t>Volumetric metrics are computed for each tissue label. Volume is calculated by counting the voxels belonging to each label and multiplying by the voxel volume (1 mm³ for isotropic 1mm spacing). Surface area is computed from the mesh using the cross-product method: for each triangular face, the area is half the magnitude of the cross product of two edge vectors, and the total surface area is the sum over all faces. The compactness metric is computed as 36π times volume squared divided by surface area cubed, which equals 1 for a perfect sphere and is lower for more irregular shapes. Atrophy ratios are computed relative to the white matter reference region: the ratio of gray matter volume to white matter volume provides a gross atrophy index, with lower values indicating greater gray matter loss relative to white matter, a pattern seen in neurodegenerative diseases. The centroid (centre of mass) and bounding box of each tissue are also computed for spatial localisation.</w:t>
      </w:r>
    </w:p>
    <w:p>
      <w:pPr>
        <w:spacing w:before="80" w:after="80"/>
        <w:ind w:left="432"/>
      </w:pPr>
      <w:r>
        <w:rPr>
          <w:rFonts w:ascii="Courier New" w:hAnsi="Courier New"/>
          <w:color w:val="202020"/>
          <w:sz w:val="18"/>
        </w:rPr>
        <w:t># Reconstruction configuration (configs/reconstruction.yaml)</w:t>
        <w:br/>
        <w:t>reconstruction:</w:t>
        <w:br/>
        <w:t xml:space="preserve">  stacking:</w:t>
        <w:br/>
        <w:t xml:space="preserve">    spacing: [1.0, 1.0, 1.0]</w:t>
        <w:br/>
        <w:t xml:space="preserve">    interpolation: linear</w:t>
        <w:br/>
        <w:t xml:space="preserve">    fill_gaps: true</w:t>
        <w:br/>
        <w:t xml:space="preserve">    gap_method: morphological</w:t>
        <w:br/>
        <w:t xml:space="preserve">  marching:</w:t>
        <w:br/>
        <w:t xml:space="preserve">    method: marching_cubes</w:t>
        <w:br/>
        <w:t xml:space="preserve">    level: 0.5</w:t>
        <w:br/>
        <w:t xml:space="preserve">    step_size: 1</w:t>
        <w:br/>
        <w:t xml:space="preserve">    smoothing:</w:t>
        <w:br/>
        <w:t xml:space="preserve">      enabled: true</w:t>
        <w:br/>
        <w:t xml:space="preserve">      iterations: 3</w:t>
        <w:br/>
        <w:t xml:space="preserve">      lambda: 0.5</w:t>
        <w:br/>
        <w:t xml:space="preserve">    per_label: true</w:t>
        <w:br/>
        <w:t xml:space="preserve">  metrics:</w:t>
        <w:br/>
        <w:t xml:space="preserve">    compute: true</w:t>
        <w:br/>
        <w:t xml:space="preserve">    labels_of_interest: [gray_matter, white_matter, csf, lesion]</w:t>
        <w:br/>
        <w:t xml:space="preserve">    reference_region: white_matter</w:t>
        <w:br/>
        <w:t xml:space="preserve">  visualize:</w:t>
        <w:br/>
        <w:t xml:space="preserve">    engine: plotly</w:t>
        <w:br/>
        <w:t xml:space="preserve">    save_html: true</w:t>
        <w:br/>
        <w:t xml:space="preserve">    cross_sections: true</w:t>
      </w:r>
    </w:p>
    <w:p>
      <w:pPr>
        <w:ind w:left="432"/>
      </w:pPr>
      <w:r>
        <w:rPr>
          <w:i/>
          <w:color w:val="555555"/>
          <w:sz w:val="16"/>
        </w:rPr>
        <w:t>[YAML]</w:t>
      </w:r>
    </w:p>
    <w:p>
      <w:pPr>
        <w:pStyle w:val="Heading2"/>
      </w:pPr>
      <w:r>
        <w:rPr>
          <w:color w:val="1F4E79"/>
        </w:rPr>
        <w:t>3.3 Disease Classification (Ensemble MLP with Self-Attention)</w:t>
      </w:r>
    </w:p>
    <w:p>
      <w:pPr>
        <w:spacing w:after="160" w:line="276" w:lineRule="auto"/>
      </w:pPr>
      <w:r>
        <w:rPr>
          <w:sz w:val="22"/>
        </w:rPr>
        <w:t>The disease classification methodology uses a 5-seed ensemble of deep residual multi-layer perceptrons (MLPs) with self-attention gating, operating on a 43-dimensional feature vector extracted from the segmented and reconstructed brain volume. This approach was chosen over voxel-based convolutional neural networks for three reasons. First, interpretability: the 43 features correspond to clinically meaningful anatomical attributes (lesion volume, region count, distribution pattern, laterality, cortical-to-deep ratio) that can be directly inspected and explained to clinicians, whereas voxel-based CNNs produce opaque predictions. Second, data efficiency: the MLP requires only 43 input dimensions, enabling training on a synthetic dataset of manageable size (1,200 samples per class, 43,200 total), whereas voxel-based CNNs would require millions of parameters and large real datasets. Third, extensibility: new diseases can be added by defining new disease signatures and retraining, without modifying the network architecture.</w:t>
      </w:r>
    </w:p>
    <w:p>
      <w:pPr>
        <w:spacing w:after="160" w:line="276" w:lineRule="auto"/>
      </w:pPr>
      <w:r>
        <w:rPr>
          <w:sz w:val="22"/>
        </w:rPr>
        <w:t>The 43-dimensional feature vector has the following layout. The first 9 dimensions are scalar features: log-scaled lesion volume (normalised by 12.0), number of distinct lesion regions (normalised by 20), lesion density (volume per region), bilateral presence (binary), asymmetry index (absolute difference between left and right voxel counts divided by their sum), region entropy (Shannon entropy of the region distribution), cortical ratio (fraction of cortical regions), deep ratio (fraction of deep structures), and average volume per region. Dimensions 9 through 15 are a 7-element one-hot encoding of the lesion pattern (focal, diffuse, symmetric, periventricular, ring_enhancing, cystic, hemorrhagic). Dimensions 16 through 19 are a 4-element one-hot encoding of laterality (left, right, bilateral, any). Dimensions 20 through 42 are a 23-element multi-hot encoding of the anatomical regions involved (frontal, parietal, temporal, occipital, cerebellum, brainstem, basal_ganglia, thalamus, periventricular, corona_radiata, motor_cortex, hippocampus, insula, limbic, ventricular, midbrain, extra_axial, gray_white_junction, corpus_callosum, internal_capsule, cerebellopontine_angle, pituitary_fossa, pineal).</w:t>
      </w:r>
    </w:p>
    <w:p>
      <w:pPr>
        <w:spacing w:after="160" w:line="276" w:lineRule="auto"/>
      </w:pPr>
      <w:r>
        <w:rPr>
          <w:sz w:val="22"/>
        </w:rPr>
        <w:t>The network architecture is a deep residual MLP. The input layer is a linear projection from 43 to 512 dimensions, followed by batch normalisation, GELU (Gaussian Error Linear Unit) activation, and dropout with a rate of 0.3. This is followed by two residual blocks at 512 dimensions, each containing self-attention gating. The self-attention mechanism projects the 512-dimensional hidden state to a smaller dimension (64), computes scaled dot-product attention, and projects back to 512 dimensions, producing a gating signal that is multiplied element-wise with the residual path. This allows the model to learn which feature interactions are important for discriminating confusable disease pairs. After the 512-dimensional blocks, the network projects to 256 dimensions (with batch normalisation, GELU, and dropout 0.15), followed by one residual block at 256, then projects to 128 dimensions (with batch normalisation, GELU, and dropout 0.12), and finally a linear layer projects to 36 output logits (one per disease class).</w:t>
      </w:r>
    </w:p>
    <w:p>
      <w:pPr>
        <w:spacing w:after="160" w:line="276" w:lineRule="auto"/>
      </w:pPr>
      <w:r>
        <w:rPr>
          <w:sz w:val="22"/>
        </w:rPr>
        <w:t>Training uses a synthetic dataset generated by sampling each disease signature with realistic noise. For each of the 36 disease classes, 1,200 samples are generated. The lesion volume is drawn from a log-normal distribution centred on the disease's signature size range. The number of regions is drawn from the signature's region count range with additional random variation. The pattern and laterality are drawn from the signature's preferred values with a 2% label noise rate, which forces the model to learn robust decision boundaries rather than memorising exact patterns. Multiple regions are sampled from the disease's preferred region set, with a 5% probability of an off-signature region to improve robustness. The training uses the AdamW optimiser with a learning rate of 3×10⁻³ and weight decay of 1×10⁻⁴, a OneCycleLR scheduler for fast convergence, cross-entropy loss with label smoothing of 0.05 to prevent overconfidence, and mixup augmentation (interpolating pairs of samples with a probability of 30% and a Beta(0.4, 0.4) mixing distribution) to improve generalisation on confusable disease pairs. A stratified train/validation split (85%/15%) ensures every disease class is represented in the validation set. The ensemble consists of 3 models (in the final implementation) trained with different random seeds, and predictions are averaged across ensemble members for robustness.</w:t>
      </w:r>
    </w:p>
    <w:p>
      <w:pPr>
        <w:spacing w:before="80" w:after="80"/>
        <w:ind w:left="432"/>
      </w:pPr>
      <w:r>
        <w:rPr>
          <w:rFonts w:ascii="Courier New" w:hAnsi="Courier New"/>
          <w:color w:val="202020"/>
          <w:sz w:val="18"/>
        </w:rPr>
        <w:t># Classifier architecture (brainframe/classification/trained_model.py)</w:t>
        <w:br/>
        <w:t>DiseaseMLP:</w:t>
        <w:br/>
        <w:t xml:space="preserve">  Linear(43 → 512) + BatchNorm + GELU + Dropout(0.3)</w:t>
        <w:br/>
        <w:t xml:space="preserve">  ResidualBlock(512, dropout=0.15) × 2   [with self-attention gating]</w:t>
        <w:br/>
        <w:t xml:space="preserve">  Linear(512 → 256) + BatchNorm + GELU + Dropout(0.15)</w:t>
        <w:br/>
        <w:t xml:space="preserve">  ResidualBlock(256, dropout=0.12)</w:t>
        <w:br/>
        <w:t xml:space="preserve">  Linear(256 → 128) + BatchNorm + GELU + Dropout(0.12)</w:t>
        <w:br/>
        <w:t xml:space="preserve">  Linear(128 → 36)</w:t>
        <w:br/>
        <w:br/>
        <w:t>ResidualBlock with self-attention:</w:t>
        <w:br/>
        <w:t xml:space="preserve">  Linear(dim → dim) + GELU + Dropout</w:t>
        <w:br/>
        <w:t xml:space="preserve">  Self-attention: project dim → 64, attend, project 64 → dim</w:t>
        <w:br/>
        <w:t xml:space="preserve">  Gate: multiply attention output with residual</w:t>
        <w:br/>
        <w:t xml:space="preserve">  Linear(dim → dim) + Dropout</w:t>
        <w:br/>
        <w:t xml:space="preserve">  Add residual</w:t>
        <w:br/>
        <w:br/>
        <w:t>Training:</w:t>
        <w:br/>
        <w:t xml:space="preserve">  Optimiser: AdamW (lr=3e-3, weight_decay=1e-4)</w:t>
        <w:br/>
        <w:t xml:space="preserve">  Scheduler: OneCycleLR (max_lr=3e-3)</w:t>
        <w:br/>
        <w:t xml:space="preserve">  Loss: CrossEntropy (label_smoothing=0.05)</w:t>
        <w:br/>
        <w:t xml:space="preserve">  Augmentation: Mixup (p=0.3, Beta(0.4, 0.4))</w:t>
        <w:br/>
        <w:t xml:space="preserve">  Ensemble: 3 seeds, softmax averaged</w:t>
        <w:br/>
        <w:t xml:space="preserve">  Samples: 1,200 per class × 36 classes = 43,200 total</w:t>
        <w:br/>
        <w:t xml:space="preserve">  Split: 85% train / 15% validation (stratified)</w:t>
        <w:br/>
        <w:t xml:space="preserve">  Epochs: 500 (auto-train), 200 (manual CLI)</w:t>
        <w:br/>
        <w:t xml:space="preserve">  Batch size: 64</w:t>
      </w:r>
    </w:p>
    <w:p>
      <w:pPr>
        <w:ind w:left="432"/>
      </w:pPr>
      <w:r>
        <w:rPr>
          <w:i/>
          <w:color w:val="555555"/>
          <w:sz w:val="16"/>
        </w:rPr>
        <w:t>[Python]</w:t>
      </w:r>
    </w:p>
    <w:p>
      <w:pPr>
        <w:pStyle w:val="Heading2"/>
      </w:pPr>
      <w:r>
        <w:rPr>
          <w:color w:val="1F4E79"/>
        </w:rPr>
        <w:t>3.4 Computational Therapy Evaluation</w:t>
      </w:r>
    </w:p>
    <w:p>
      <w:pPr>
        <w:spacing w:after="160" w:line="276" w:lineRule="auto"/>
      </w:pPr>
      <w:r>
        <w:rPr>
          <w:sz w:val="22"/>
        </w:rPr>
        <w:t>The therapy evaluation methodology provides a computational assessment of therapeutic interventions on the reconstructed 3D brain volume. The module performs three functions: spatial lesion analysis, therapy simulation, and compatibility scoring. The spatial lesion analysis begins by detecting connected components within the lesion label of the segmented volume. Each connected component is characterised by its volume (in mm³), centroid (in voxel coordinates), and spatial extent (bounding box). The largest connected component is selected as the primary therapeutic target. Adjacency analysis measures the distance from the lesion to key anatomical structures (white matter, gray matter, CSF), which informs the risk assessment: lesions adjacent to critical structures carry higher therapeutic risk.</w:t>
      </w:r>
    </w:p>
    <w:p>
      <w:pPr>
        <w:spacing w:after="160" w:line="276" w:lineRule="auto"/>
      </w:pPr>
      <w:r>
        <w:rPr>
          <w:sz w:val="22"/>
        </w:rPr>
        <w:t>Therapy simulation applies a Gaussian effect field centred on the target region. The Gaussian kernel has a configurable radius (30 mm by default) and standard deviation (12 mm by default), with the sigma defaulting to half the radius if not explicitly set. The effect field is computed as the exponential of the negative squared distance divided by twice the sigma squared, multiplied by the therapy dose (a value between 0 and 1 representing intervention intensity). Voxels beyond the radius are set to zero, limiting the therapeutic effect to a spherical region. Three therapy modes are supported. In lesion reversal mode, lesion voxels within the effect field are probabilistically converted to white matter, with the conversion probability proportional to the effect field intensity at each voxel. In regeneration mode, CSF voxels within the strong effect field (intensity &gt; 0.3) are converted to white matter, and lesion voxels within the very strong effect field (intensity &gt; 0.4) have a 50% probability of conversion. In stimulation mode, the effect field is computed but no label changes are made, representing a neurostimulation intervention that enhances function without altering tissue structure.</w:t>
      </w:r>
    </w:p>
    <w:p>
      <w:pPr>
        <w:spacing w:after="160" w:line="276" w:lineRule="auto"/>
      </w:pPr>
      <w:r>
        <w:rPr>
          <w:sz w:val="22"/>
        </w:rPr>
        <w:t>After the initial therapy application, the effect field is propagated through the volume using a diffusion process. The propagation iterates for 10 steps (configurable), with each step applying a Gaussian filter (sigma=1.0) to the effect field and blending the smoothed field with the original at a diffusion rate of 0.15. This simulates the spatial spread of therapeutic effect through tissue. A region graph with k=6 nearest-neighbour connections is used to model the propagation pathways between anatomical regions. The diffusion process is implemented using scipy's gaussian_filter function, which applies a separable Gaussian convolution along each axis.</w:t>
      </w:r>
    </w:p>
    <w:p>
      <w:pPr>
        <w:spacing w:after="160" w:line="276" w:lineRule="auto"/>
      </w:pPr>
      <w:r>
        <w:rPr>
          <w:sz w:val="22"/>
        </w:rPr>
        <w:t>The compatibility score is a multi-objective metric that combines three factors. Coverage (weight 0.5) measures the fraction of lesion voxels that fall within the effective therapy field (intensity &gt; 0.05), indicating how well the therapy covers the target lesion. Recovery (weight 0.2) measures the relative reduction in lesion volume after therapy, computed as one minus the ratio of post-therapy to pre-therapy lesion volume. Risk (weight 0.3) measures the inverse of the overlap between the therapy field and healthy structures (white matter, gray matter): a high overlap indicates that the therapy affects healthy tissue, which is undesirable. The risk component also considers the minimum distance to healthy structures, with a threshold of 5 mm below which risk increases sharply. The overall compatibility score is the weighted sum of coverage, recovery, and risk, clipped to the range [0, 1]. These weights were set heuristically, prioritising coverage (the most important factor for therapeutic efficacy) and risk (the most important factor for safety), with recovery given a lower weight as it depends on factors beyond the therapy itself (disease stage, patient physiology).</w:t>
      </w:r>
    </w:p>
    <w:p>
      <w:pPr>
        <w:spacing w:before="80" w:after="80"/>
        <w:ind w:left="432"/>
      </w:pPr>
      <w:r>
        <w:rPr>
          <w:rFonts w:ascii="Courier New" w:hAnsi="Courier New"/>
          <w:color w:val="202020"/>
          <w:sz w:val="18"/>
        </w:rPr>
        <w:t># Therapy evaluation configuration (configs/evaluation.yaml)</w:t>
        <w:br/>
        <w:t>evaluation:</w:t>
        <w:br/>
        <w:t xml:space="preserve">  lesion_analysis:</w:t>
        <w:br/>
        <w:t xml:space="preserve">    detect: true</w:t>
        <w:br/>
        <w:t xml:space="preserve">    lesion_label: lesion</w:t>
        <w:br/>
        <w:t xml:space="preserve">    min_volume_mm3: 50</w:t>
        <w:br/>
        <w:t xml:space="preserve">    adjacency_structures: [white_matter, gray_matter, csf]</w:t>
        <w:br/>
        <w:t xml:space="preserve">  therapy:</w:t>
        <w:br/>
        <w:t xml:space="preserve">    target_label: lesion</w:t>
        <w:br/>
        <w:t xml:space="preserve">    target_mode: largest_region</w:t>
        <w:br/>
        <w:t xml:space="preserve">    radius_mm: 30.0</w:t>
        <w:br/>
        <w:t xml:space="preserve">    dose: 1.0</w:t>
        <w:br/>
        <w:t xml:space="preserve">    mode: lesion_reversal</w:t>
        <w:br/>
        <w:t xml:space="preserve">    kernel: gaussian</w:t>
        <w:br/>
        <w:t xml:space="preserve">    sigma_mm: 12.0</w:t>
        <w:br/>
        <w:t xml:space="preserve">  simulator:</w:t>
        <w:br/>
        <w:t xml:space="preserve">    propagation_steps: 10</w:t>
        <w:br/>
        <w:t xml:space="preserve">    diffusion_rate: 0.15</w:t>
        <w:br/>
        <w:t xml:space="preserve">    region_graph_k: 6</w:t>
        <w:br/>
        <w:t xml:space="preserve">  compatibility:</w:t>
        <w:br/>
        <w:t xml:space="preserve">    coverage_weight: 0.5</w:t>
        <w:br/>
        <w:t xml:space="preserve">    risk_weight: 0.3</w:t>
        <w:br/>
        <w:t xml:space="preserve">    recovery_weight: 0.2</w:t>
        <w:br/>
        <w:t xml:space="preserve">    risk_threshold_mm: 5.0</w:t>
      </w:r>
    </w:p>
    <w:p>
      <w:pPr>
        <w:ind w:left="432"/>
      </w:pPr>
      <w:r>
        <w:rPr>
          <w:i/>
          <w:color w:val="555555"/>
          <w:sz w:val="16"/>
        </w:rPr>
        <w:t>[YAML]</w:t>
      </w:r>
    </w:p>
    <w:p>
      <w:r>
        <w:br w:type="page"/>
      </w:r>
    </w:p>
    <w:p>
      <w:pPr>
        <w:pStyle w:val="Heading1"/>
      </w:pPr>
      <w:r>
        <w:rPr>
          <w:color w:val="1F4E79"/>
        </w:rPr>
        <w:t>4. Data Collection and Analysis Procedures</w:t>
      </w:r>
    </w:p>
    <w:p>
      <w:pPr>
        <w:pStyle w:val="Heading2"/>
      </w:pPr>
      <w:r>
        <w:rPr>
          <w:color w:val="1F4E79"/>
        </w:rPr>
        <w:t>4.1 Anatomical Data Assets</w:t>
      </w:r>
    </w:p>
    <w:p>
      <w:pPr>
        <w:spacing w:after="160" w:line="276" w:lineRule="auto"/>
      </w:pPr>
      <w:r>
        <w:rPr>
          <w:sz w:val="22"/>
        </w:rPr>
        <w:t>The framework utilises three primary anatomical data assets, each serving a distinct role in the pipeline. The first is the ICBM152 nonlinear asymmetric template (version 2009a), a widely-used standard brain template in neuroimaging research, maintained by the McConnell Brain Imaging Centre at the Montreal Neurological Institute. This template was created by nonlinearly averaging 152 healthy adult T1-weighted MRI scans in stereotaxic space, producing a high-quality, artefact-free reference brain. In the NeuroCure framework, the ICBM152 template serves as the bundled demo brain, providing a realistic T1-weighted MRI volume with authentic tissue intensity distributions, anatomically accurate structural boundaries, and standard MNI stereotaxic coordinates. The template is stored as a compressed NIfTI file with dimensions 96×112×84 voxels at 2mm isotropic spacing. A synthetic lesion is embedded in the white matter region to demonstrate the full segmentation-to-therapy pipeline, as the standard template does not contain pathological findings.</w:t>
      </w:r>
    </w:p>
    <w:p>
      <w:pPr>
        <w:spacing w:after="160" w:line="276" w:lineRule="auto"/>
      </w:pPr>
      <w:r>
        <w:rPr>
          <w:sz w:val="22"/>
        </w:rPr>
        <w:t>The second asset is the FreeSurfer fsaverage cortical surface, which provides a standardised cortical parcellation with 34 anatomical regions per hemisphere (68 total). These regions, defined by the Desikan-Killiany atlas, include gyral and sulcal structures such as the superior frontal gyrus, caudal middle frontal gyrus, precentral gyrus, postcentral gyrus, supramarginal gyrus, angular gyrus, and precuneus. In the framework, the fsaverage parcellation provides the anatomical reference for cortical feature extraction: each region contributes cortical thickness, volume, surface area, mean curvature, and sulcal depth measurements, which form part of the 43-dimensional feature vector for disease classification. The fsaverage surface is a spherical registration template, meaning that any individual brain can be registered to fsaverage space to obtain standardised regional measurements.</w:t>
      </w:r>
    </w:p>
    <w:p>
      <w:pPr>
        <w:spacing w:after="160" w:line="276" w:lineRule="auto"/>
      </w:pPr>
      <w:r>
        <w:rPr>
          <w:sz w:val="22"/>
        </w:rPr>
        <w:t>The third asset is the Harvard-Oxford subcortical structural atlas, which provides probabilistic maps of deep brain structures. The atlas includes eight bilateral structures: thalamus, caudate nucleus, putamen, globus pallidus, hippocampus, amygdala, nucleus accumbens, and brainstem. Each structure is represented as a probability map indicating the likelihood of each voxel belonging to that structure across a population of subjects. In the framework, these structures are rendered as coloured overlays in the 3D visualisation and contribute volumetric features (volume, asymmetry index, atrophy ratio relative to total brain volume) to the disease classifier. The deep nuclei are particularly important for distinguishing movement disorders (Parkinson's, Huntington's, PSP, MSA, CBD), which primarily affect subcortical structures.</w:t>
      </w:r>
    </w:p>
    <w:p>
      <w:pPr>
        <w:pStyle w:val="Heading2"/>
      </w:pPr>
      <w:r>
        <w:rPr>
          <w:color w:val="1F4E79"/>
        </w:rPr>
        <w:t>4.2 Synthetic Training Data Generation</w:t>
      </w:r>
    </w:p>
    <w:p>
      <w:pPr>
        <w:spacing w:after="160" w:line="276" w:lineRule="auto"/>
      </w:pPr>
      <w:r>
        <w:rPr>
          <w:sz w:val="22"/>
        </w:rPr>
        <w:t>The disease classifier is trained on a synthetic dataset generated by sampling each of the 36 disease signatures with realistic noise. This approach was chosen because it eliminates the need for large annotated clinical datasets while maintaining full transparency and reproducibility: every training sample can be traced to the disease signature that generated it, and the noise model is explicitly defined in the code. The generation procedure produces 1,200 samples per disease class, yielding 43,200 total training samples.</w:t>
      </w:r>
    </w:p>
    <w:p>
      <w:pPr>
        <w:spacing w:after="160" w:line="276" w:lineRule="auto"/>
      </w:pPr>
      <w:r>
        <w:rPr>
          <w:sz w:val="22"/>
        </w:rPr>
        <w:t>For each sample, the lesion volume is drawn from a log-normal distribution parameterised by the logarithm of the midpoint of the disease's signature size range, shifted by -0.25 to account for the log-normal skew, with a standard deviation of 0.30. The volume is then clipped to the range [0.7 × lower bound, 1.5 × upper bound] of the disease's signature size range to ensure plausibility. The number of distinct lesion regions is drawn from a discrete uniform distribution over the disease's signature region count range, with an additional random increment of 0 or 1 to introduce variability. The lesion pattern and laterality are drawn from the disease's preferred values with a 2% probability of random replacement, which introduces label noise that forces the model to learn robust rather than memorised decision boundaries. Multiple regions are sampled from the disease's preferred region set without replacement, with a 5% probability of adding an off-signature region to improve robustness to atypical presentations. The Healthy class (class 0) is a special case: it has no preferred regions and a very small size range (0-50 mm³), representing the absence of significant pathology, with occasional tiny incidental findings to prevent the model from trivially classifying any non-zero volume as pathological.</w:t>
      </w:r>
    </w:p>
    <w:p>
      <w:pPr>
        <w:spacing w:after="160" w:line="276" w:lineRule="auto"/>
      </w:pPr>
      <w:r>
        <w:rPr>
          <w:sz w:val="22"/>
        </w:rPr>
        <w:t>The training data is split into training (85%) and validation (15%) sets using stratified sampling, ensuring that every disease class is represented in the validation set in proportion to its frequency in the training data. This stratification is critical for obtaining reliable validation metrics in a multi-class setting with 36 classes, as random splitting could leave some classes unrepresented in the validation set. The split uses a fixed random seed (42) for reproducibility. It should be noted that this is a circular evaluation: the model is trained on synthetic data derived from disease signatures and evaluated on a held-out portion of the same synthetic data distribution. While this demonstrates that the model can learn the disease signatures, it does not validate performance on real patient data. This is acknowledged as the most significant limitation of the current evaluation and is discussed in detail in Section 8.</w:t>
      </w:r>
    </w:p>
    <w:p>
      <w:pPr>
        <w:pStyle w:val="Heading2"/>
      </w:pPr>
      <w:r>
        <w:rPr>
          <w:color w:val="1F4E79"/>
        </w:rPr>
        <w:t>4.3 Analysis Procedures</w:t>
      </w:r>
    </w:p>
    <w:p>
      <w:pPr>
        <w:spacing w:after="160" w:line="276" w:lineRule="auto"/>
      </w:pPr>
      <w:r>
        <w:rPr>
          <w:sz w:val="22"/>
        </w:rPr>
        <w:t>The model evaluation dashboard implements a comprehensive battery of statistical and probabilistic evaluation techniques, organised into eight metric families. The first is the confusion matrix, which provides a detailed view of classification performance across all 36 disease classes. For each class, precision (true positives divided by predicted positives), recall (true positives divided by actual positives), F1 score (harmonic mean of precision and recall), and specificity (true negatives divided by actual negatives) are computed. Aggregate metrics include macro-averaged and weighted-averaged precision, recall, and F1 (macro gives equal weight to each class, while weighted gives weight proportional to class frequency), Cohen's kappa (which corrects for chance agreement), Matthews correlation coefficient (a balanced measure that accounts for all four quadrants of the confusion matrix), and balanced accuracy (the average of per-class recall, which is more informative than raw accuracy for imbalanced datasets).</w:t>
      </w:r>
    </w:p>
    <w:p>
      <w:pPr>
        <w:spacing w:after="160" w:line="276" w:lineRule="auto"/>
      </w:pPr>
      <w:r>
        <w:rPr>
          <w:sz w:val="22"/>
        </w:rPr>
        <w:t>The second metric family is the F-test (one-way ANOVA), which tests whether the mean values of each input feature differ significantly across disease classes. A high F-statistic with a low p-value indicates that the feature is discriminative — different diseases have significantly different values for that feature. This analysis helps identify which of the 43 features contribute most to disease discrimination and can guide feature engineering improvements. The third family is the chi-square test of independence, which tests whether the predicted class distribution depends on categorical features (pattern, laterality, regions). A significant chi-square result indicates that the model's predictions are not independent of the categorical features, which is expected for a well-functioning classifier but provides a statistical verification of feature-prediction dependence.</w:t>
      </w:r>
    </w:p>
    <w:p>
      <w:pPr>
        <w:spacing w:after="160" w:line="276" w:lineRule="auto"/>
      </w:pPr>
      <w:r>
        <w:rPr>
          <w:sz w:val="22"/>
        </w:rPr>
        <w:t>The fourth family is the Receiver Operating Characteristic (ROC) curve, computed in a one-vs-rest manner for each of the 36 classes. For each class, the true positive rate is plotted against the false positive rate at various threshold values, and the Area Under the Curve (AUC) is computed. A perfect classifier achieves an AUC of 1.0, while random guessing achieves 0.5. Macro-averaged and weighted-averaged AUC values provide aggregate performance measures across all classes. The fifth family is the Precision-Recall curve, also computed one-vs-rest, with average precision as the summary metric. Precision-recall curves are more informative than ROC curves for imbalanced datasets, as they focus on the positive class performance. The sixth family is calibration analysis, which assesses whether the model's predicted probabilities match the true probabilities of correctness. A reliability diagram plots predicted probability against observed frequency, and the Expected Calibration Error (ECE) quantifies the average deviation. Well-calibrated models have low ECE, meaning their confidence scores are trustworthy. The seventh family is top-K accuracy, which measures the fraction of cases where the true disease is among the top K predicted diseases (K=1, 3, 5). This is particularly relevant for differential diagnosis, where a shortlist of likely diseases is clinically more useful than a single prediction. The eighth family is a confidence histogram, showing the distribution of the model's maximum predicted probability across all evaluation samples, which reveals whether the model is appropriately confident or suffers from overconfidence or underconfidence.</w:t>
      </w:r>
    </w:p>
    <w:p>
      <w:r>
        <w:br w:type="page"/>
      </w:r>
    </w:p>
    <w:p>
      <w:pPr>
        <w:pStyle w:val="Heading1"/>
      </w:pPr>
      <w:r>
        <w:rPr>
          <w:color w:val="1F4E79"/>
        </w:rPr>
        <w:t>5. Implementation and Technical Specifications</w:t>
      </w:r>
    </w:p>
    <w:p>
      <w:pPr>
        <w:pStyle w:val="Heading2"/>
      </w:pPr>
      <w:r>
        <w:rPr>
          <w:color w:val="1F4E79"/>
        </w:rPr>
        <w:t>5.1 Technology Stack</w:t>
      </w:r>
    </w:p>
    <w:p>
      <w:pPr>
        <w:spacing w:after="160" w:line="276" w:lineRule="auto"/>
      </w:pPr>
      <w:r>
        <w:rPr>
          <w:sz w:val="22"/>
        </w:rPr>
        <w:t>The NeuroCure framework is implemented in Python (version 3.10 or later), using PyTorch as the deep learning framework for both the segmentation (SAM inference) and classification (ensemble MLP training and inference) components. PyTorch was chosen over TensorFlow primarily for its dynamic computation graph, which simplifies debugging and experimentation, and for its dominant position in the medical imaging research community, which ensures access to pre-trained models and community support. The deployment configuration uses CPU-only PyTorch to avoid GPU dependencies, making the framework deployable on free cloud platforms (Streamlit Community Cloud, Render free tier) and on machines without GPU hardware. The trade-off is slower inference: SAM ViT-B inference on CPU takes approximately 2-5 seconds per 2D slice, resulting in 1-3 minutes for a typical 96-slice brain volume, which is acceptable for an interactive web application with progress indication.</w:t>
      </w:r>
    </w:p>
    <w:p>
      <w:pPr>
        <w:spacing w:after="160" w:line="276" w:lineRule="auto"/>
      </w:pPr>
      <w:r>
        <w:rPr>
          <w:sz w:val="22"/>
        </w:rPr>
        <w:t>The web application is built with Streamlit, a Python framework for building interactive data applications with minimal boilerplate. Streamlit was chosen over alternatives (Flask, Django, Dash) for its rapid prototyping capability, built-in widget library, automatic reactivity model, and native support for multi-page applications. The application uses a dark clinical theme with a blue accent colour (#238636), a dark background (#0d1117), and light text (#e6edf3), providing a professional appearance that reduces eye strain during extended clinical use. The 3D visualisation uses two complementary technologies: Plotly.js for the static interactive 3D brain viewer (supporting rotation, zoom, and pan via WebGL), and Three.js for the animated cure simulation (providing smooth 60fps WebGL rendering of the therapy cascade). Plotly was chosen for the static viewer because it integrates seamlessly with Python (via the plotly Python library) and produces self-contained HTML files. Three.js was chosen for the animation because it provides lower-level control over the rendering pipeline and better performance for real-time animation.</w:t>
      </w:r>
    </w:p>
    <w:tbl>
      <w:tblPr>
        <w:tblStyle w:val="TableGrid"/>
        <w:tblW w:type="auto" w:w="0"/>
        <w:tblLook w:firstColumn="1" w:firstRow="1" w:lastColumn="0" w:lastRow="0" w:noHBand="0" w:noVBand="1" w:val="04A0"/>
      </w:tblPr>
      <w:tblGrid>
        <w:gridCol w:w="2880"/>
        <w:gridCol w:w="2880"/>
        <w:gridCol w:w="2880"/>
      </w:tblGrid>
      <w:tr>
        <w:tc>
          <w:tcPr>
            <w:tcW w:type="dxa" w:w="2592"/>
            <w:shd w:fill="1F4E79" w:val="clear"/>
          </w:tcPr>
          <w:p>
            <w:pPr>
              <w:jc w:val="center"/>
            </w:pPr>
            <w:r>
              <w:rPr>
                <w:b/>
                <w:color w:val="FFFFFF"/>
                <w:sz w:val="20"/>
              </w:rPr>
              <w:t>Component</w:t>
            </w:r>
          </w:p>
        </w:tc>
        <w:tc>
          <w:tcPr>
            <w:tcW w:type="dxa" w:w="2160"/>
            <w:shd w:fill="1F4E79" w:val="clear"/>
          </w:tcPr>
          <w:p>
            <w:pPr>
              <w:jc w:val="center"/>
            </w:pPr>
            <w:r>
              <w:rPr>
                <w:b/>
                <w:color w:val="FFFFFF"/>
                <w:sz w:val="20"/>
              </w:rPr>
              <w:t>Technology</w:t>
            </w:r>
          </w:p>
        </w:tc>
        <w:tc>
          <w:tcPr>
            <w:tcW w:type="dxa" w:w="4320"/>
            <w:shd w:fill="1F4E79" w:val="clear"/>
          </w:tcPr>
          <w:p>
            <w:pPr>
              <w:jc w:val="center"/>
            </w:pPr>
            <w:r>
              <w:rPr>
                <w:b/>
                <w:color w:val="FFFFFF"/>
                <w:sz w:val="20"/>
              </w:rPr>
              <w:t>Version / Detail</w:t>
            </w:r>
          </w:p>
        </w:tc>
      </w:tr>
      <w:tr>
        <w:tc>
          <w:tcPr>
            <w:tcW w:type="dxa" w:w="2592"/>
          </w:tcPr>
          <w:p>
            <w:r>
              <w:rPr>
                <w:sz w:val="20"/>
              </w:rPr>
              <w:t>Language</w:t>
            </w:r>
          </w:p>
        </w:tc>
        <w:tc>
          <w:tcPr>
            <w:tcW w:type="dxa" w:w="2160"/>
          </w:tcPr>
          <w:p>
            <w:r>
              <w:rPr>
                <w:sz w:val="20"/>
              </w:rPr>
              <w:t>Python</w:t>
            </w:r>
          </w:p>
        </w:tc>
        <w:tc>
          <w:tcPr>
            <w:tcW w:type="dxa" w:w="4320"/>
          </w:tcPr>
          <w:p>
            <w:r>
              <w:rPr>
                <w:sz w:val="20"/>
              </w:rPr>
              <w:t>≥ 3.10</w:t>
            </w:r>
          </w:p>
        </w:tc>
      </w:tr>
      <w:tr>
        <w:tc>
          <w:tcPr>
            <w:tcW w:type="dxa" w:w="2592"/>
          </w:tcPr>
          <w:p>
            <w:r>
              <w:rPr>
                <w:sz w:val="20"/>
              </w:rPr>
              <w:t>Deep learning</w:t>
            </w:r>
          </w:p>
        </w:tc>
        <w:tc>
          <w:tcPr>
            <w:tcW w:type="dxa" w:w="2160"/>
          </w:tcPr>
          <w:p>
            <w:r>
              <w:rPr>
                <w:sz w:val="20"/>
              </w:rPr>
              <w:t>PyTorch</w:t>
            </w:r>
          </w:p>
        </w:tc>
        <w:tc>
          <w:tcPr>
            <w:tcW w:type="dxa" w:w="4320"/>
          </w:tcPr>
          <w:p>
            <w:r>
              <w:rPr>
                <w:sz w:val="20"/>
              </w:rPr>
              <w:t>CPU-only for deployment; CUDA optional</w:t>
            </w:r>
          </w:p>
        </w:tc>
      </w:tr>
      <w:tr>
        <w:tc>
          <w:tcPr>
            <w:tcW w:type="dxa" w:w="2592"/>
          </w:tcPr>
          <w:p>
            <w:r>
              <w:rPr>
                <w:sz w:val="20"/>
              </w:rPr>
              <w:t>Segmentation model</w:t>
            </w:r>
          </w:p>
        </w:tc>
        <w:tc>
          <w:tcPr>
            <w:tcW w:type="dxa" w:w="2160"/>
          </w:tcPr>
          <w:p>
            <w:r>
              <w:rPr>
                <w:sz w:val="20"/>
              </w:rPr>
              <w:t>SAM ViT-B</w:t>
            </w:r>
          </w:p>
        </w:tc>
        <w:tc>
          <w:tcPr>
            <w:tcW w:type="dxa" w:w="4320"/>
          </w:tcPr>
          <w:p>
            <w:r>
              <w:rPr>
                <w:sz w:val="20"/>
              </w:rPr>
              <w:t>Segment Anything Model (Kirillov et al., ICCV 2023)</w:t>
            </w:r>
          </w:p>
        </w:tc>
      </w:tr>
      <w:tr>
        <w:tc>
          <w:tcPr>
            <w:tcW w:type="dxa" w:w="2592"/>
          </w:tcPr>
          <w:p>
            <w:r>
              <w:rPr>
                <w:sz w:val="20"/>
              </w:rPr>
              <w:t>Web framework</w:t>
            </w:r>
          </w:p>
        </w:tc>
        <w:tc>
          <w:tcPr>
            <w:tcW w:type="dxa" w:w="2160"/>
          </w:tcPr>
          <w:p>
            <w:r>
              <w:rPr>
                <w:sz w:val="20"/>
              </w:rPr>
              <w:t>Streamlit</w:t>
            </w:r>
          </w:p>
        </w:tc>
        <w:tc>
          <w:tcPr>
            <w:tcW w:type="dxa" w:w="4320"/>
          </w:tcPr>
          <w:p>
            <w:r>
              <w:rPr>
                <w:sz w:val="20"/>
              </w:rPr>
              <w:t>Multi-page app, dark clinical theme</w:t>
            </w:r>
          </w:p>
        </w:tc>
      </w:tr>
      <w:tr>
        <w:tc>
          <w:tcPr>
            <w:tcW w:type="dxa" w:w="2592"/>
          </w:tcPr>
          <w:p>
            <w:r>
              <w:rPr>
                <w:sz w:val="20"/>
              </w:rPr>
              <w:t>3D visualisation (static)</w:t>
            </w:r>
          </w:p>
        </w:tc>
        <w:tc>
          <w:tcPr>
            <w:tcW w:type="dxa" w:w="2160"/>
          </w:tcPr>
          <w:p>
            <w:r>
              <w:rPr>
                <w:sz w:val="20"/>
              </w:rPr>
              <w:t>Plotly</w:t>
            </w:r>
          </w:p>
        </w:tc>
        <w:tc>
          <w:tcPr>
            <w:tcW w:type="dxa" w:w="4320"/>
          </w:tcPr>
          <w:p>
            <w:r>
              <w:rPr>
                <w:sz w:val="20"/>
              </w:rPr>
              <w:t>Plotly.js WebGL, interactive HTML</w:t>
            </w:r>
          </w:p>
        </w:tc>
      </w:tr>
      <w:tr>
        <w:tc>
          <w:tcPr>
            <w:tcW w:type="dxa" w:w="2592"/>
          </w:tcPr>
          <w:p>
            <w:r>
              <w:rPr>
                <w:sz w:val="20"/>
              </w:rPr>
              <w:t>3D visualisation (animated)</w:t>
            </w:r>
          </w:p>
        </w:tc>
        <w:tc>
          <w:tcPr>
            <w:tcW w:type="dxa" w:w="2160"/>
          </w:tcPr>
          <w:p>
            <w:r>
              <w:rPr>
                <w:sz w:val="20"/>
              </w:rPr>
              <w:t>Three.js</w:t>
            </w:r>
          </w:p>
        </w:tc>
        <w:tc>
          <w:tcPr>
            <w:tcW w:type="dxa" w:w="4320"/>
          </w:tcPr>
          <w:p>
            <w:r>
              <w:rPr>
                <w:sz w:val="20"/>
              </w:rPr>
              <w:t>WebGL cure simulation, 60fps</w:t>
            </w:r>
          </w:p>
        </w:tc>
      </w:tr>
      <w:tr>
        <w:tc>
          <w:tcPr>
            <w:tcW w:type="dxa" w:w="2592"/>
          </w:tcPr>
          <w:p>
            <w:r>
              <w:rPr>
                <w:sz w:val="20"/>
              </w:rPr>
              <w:t>Mesh extraction</w:t>
            </w:r>
          </w:p>
        </w:tc>
        <w:tc>
          <w:tcPr>
            <w:tcW w:type="dxa" w:w="2160"/>
          </w:tcPr>
          <w:p>
            <w:r>
              <w:rPr>
                <w:sz w:val="20"/>
              </w:rPr>
              <w:t>scikit-image</w:t>
            </w:r>
          </w:p>
        </w:tc>
        <w:tc>
          <w:tcPr>
            <w:tcW w:type="dxa" w:w="4320"/>
          </w:tcPr>
          <w:p>
            <w:r>
              <w:rPr>
                <w:sz w:val="20"/>
              </w:rPr>
              <w:t>Marching Cubes implementation</w:t>
            </w:r>
          </w:p>
        </w:tc>
      </w:tr>
      <w:tr>
        <w:tc>
          <w:tcPr>
            <w:tcW w:type="dxa" w:w="2592"/>
          </w:tcPr>
          <w:p>
            <w:r>
              <w:rPr>
                <w:sz w:val="20"/>
              </w:rPr>
              <w:t>MRI I/O</w:t>
            </w:r>
          </w:p>
        </w:tc>
        <w:tc>
          <w:tcPr>
            <w:tcW w:type="dxa" w:w="2160"/>
          </w:tcPr>
          <w:p>
            <w:r>
              <w:rPr>
                <w:sz w:val="20"/>
              </w:rPr>
              <w:t>nibabel</w:t>
            </w:r>
          </w:p>
        </w:tc>
        <w:tc>
          <w:tcPr>
            <w:tcW w:type="dxa" w:w="4320"/>
          </w:tcPr>
          <w:p>
            <w:r>
              <w:rPr>
                <w:sz w:val="20"/>
              </w:rPr>
              <w:t>NIfTI (.nii/.nii.gz) reading</w:t>
            </w:r>
          </w:p>
        </w:tc>
      </w:tr>
      <w:tr>
        <w:tc>
          <w:tcPr>
            <w:tcW w:type="dxa" w:w="2592"/>
          </w:tcPr>
          <w:p>
            <w:r>
              <w:rPr>
                <w:sz w:val="20"/>
              </w:rPr>
              <w:t>DICOM I/O</w:t>
            </w:r>
          </w:p>
        </w:tc>
        <w:tc>
          <w:tcPr>
            <w:tcW w:type="dxa" w:w="2160"/>
          </w:tcPr>
          <w:p>
            <w:r>
              <w:rPr>
                <w:sz w:val="20"/>
              </w:rPr>
              <w:t>pydicom</w:t>
            </w:r>
          </w:p>
        </w:tc>
        <w:tc>
          <w:tcPr>
            <w:tcW w:type="dxa" w:w="4320"/>
          </w:tcPr>
          <w:p>
            <w:r>
              <w:rPr>
                <w:sz w:val="20"/>
              </w:rPr>
              <w:t>DICOM (.dcm) reading</w:t>
            </w:r>
          </w:p>
        </w:tc>
      </w:tr>
      <w:tr>
        <w:tc>
          <w:tcPr>
            <w:tcW w:type="dxa" w:w="2592"/>
          </w:tcPr>
          <w:p>
            <w:r>
              <w:rPr>
                <w:sz w:val="20"/>
              </w:rPr>
              <w:t>Configuration</w:t>
            </w:r>
          </w:p>
        </w:tc>
        <w:tc>
          <w:tcPr>
            <w:tcW w:type="dxa" w:w="2160"/>
          </w:tcPr>
          <w:p>
            <w:r>
              <w:rPr>
                <w:sz w:val="20"/>
              </w:rPr>
              <w:t>PyYAML</w:t>
            </w:r>
          </w:p>
        </w:tc>
        <w:tc>
          <w:tcPr>
            <w:tcW w:type="dxa" w:w="4320"/>
          </w:tcPr>
          <w:p>
            <w:r>
              <w:rPr>
                <w:sz w:val="20"/>
              </w:rPr>
              <w:t>Hierarchical YAML configs</w:t>
            </w:r>
          </w:p>
        </w:tc>
      </w:tr>
      <w:tr>
        <w:tc>
          <w:tcPr>
            <w:tcW w:type="dxa" w:w="2592"/>
          </w:tcPr>
          <w:p>
            <w:r>
              <w:rPr>
                <w:sz w:val="20"/>
              </w:rPr>
              <w:t>Logging</w:t>
            </w:r>
          </w:p>
        </w:tc>
        <w:tc>
          <w:tcPr>
            <w:tcW w:type="dxa" w:w="2160"/>
          </w:tcPr>
          <w:p>
            <w:r>
              <w:rPr>
                <w:sz w:val="20"/>
              </w:rPr>
              <w:t>Loguru</w:t>
            </w:r>
          </w:p>
        </w:tc>
        <w:tc>
          <w:tcPr>
            <w:tcW w:type="dxa" w:w="4320"/>
          </w:tcPr>
          <w:p>
            <w:r>
              <w:rPr>
                <w:sz w:val="20"/>
              </w:rPr>
              <w:t>Structured logging with module-level loggers</w:t>
            </w:r>
          </w:p>
        </w:tc>
      </w:tr>
      <w:tr>
        <w:tc>
          <w:tcPr>
            <w:tcW w:type="dxa" w:w="2592"/>
          </w:tcPr>
          <w:p>
            <w:r>
              <w:rPr>
                <w:sz w:val="20"/>
              </w:rPr>
              <w:t>Mesh processing</w:t>
            </w:r>
          </w:p>
        </w:tc>
        <w:tc>
          <w:tcPr>
            <w:tcW w:type="dxa" w:w="2160"/>
          </w:tcPr>
          <w:p>
            <w:r>
              <w:rPr>
                <w:sz w:val="20"/>
              </w:rPr>
              <w:t>trimesh</w:t>
            </w:r>
          </w:p>
        </w:tc>
        <w:tc>
          <w:tcPr>
            <w:tcW w:type="dxa" w:w="4320"/>
          </w:tcPr>
          <w:p>
            <w:r>
              <w:rPr>
                <w:sz w:val="20"/>
              </w:rPr>
              <w:t>Mesh metrics and manipulation</w:t>
            </w:r>
          </w:p>
        </w:tc>
      </w:tr>
      <w:tr>
        <w:tc>
          <w:tcPr>
            <w:tcW w:type="dxa" w:w="2592"/>
          </w:tcPr>
          <w:p>
            <w:r>
              <w:rPr>
                <w:sz w:val="20"/>
              </w:rPr>
              <w:t>Statistical analysis</w:t>
            </w:r>
          </w:p>
        </w:tc>
        <w:tc>
          <w:tcPr>
            <w:tcW w:type="dxa" w:w="2160"/>
          </w:tcPr>
          <w:p>
            <w:r>
              <w:rPr>
                <w:sz w:val="20"/>
              </w:rPr>
              <w:t>scipy + scikit-learn</w:t>
            </w:r>
          </w:p>
        </w:tc>
        <w:tc>
          <w:tcPr>
            <w:tcW w:type="dxa" w:w="4320"/>
          </w:tcPr>
          <w:p>
            <w:r>
              <w:rPr>
                <w:sz w:val="20"/>
              </w:rPr>
              <w:t>ANOVA, chi-square, ROC, calibration</w:t>
            </w:r>
          </w:p>
        </w:tc>
      </w:tr>
      <w:tr>
        <w:tc>
          <w:tcPr>
            <w:tcW w:type="dxa" w:w="2592"/>
          </w:tcPr>
          <w:p>
            <w:r>
              <w:rPr>
                <w:sz w:val="20"/>
              </w:rPr>
              <w:t>Package manager</w:t>
            </w:r>
          </w:p>
        </w:tc>
        <w:tc>
          <w:tcPr>
            <w:tcW w:type="dxa" w:w="2160"/>
          </w:tcPr>
          <w:p>
            <w:r>
              <w:rPr>
                <w:sz w:val="20"/>
              </w:rPr>
              <w:t>uv</w:t>
            </w:r>
          </w:p>
        </w:tc>
        <w:tc>
          <w:tcPr>
            <w:tcW w:type="dxa" w:w="4320"/>
          </w:tcPr>
          <w:p>
            <w:r>
              <w:rPr>
                <w:sz w:val="20"/>
              </w:rPr>
              <w:t>Astral uv (recommended)</w:t>
            </w:r>
          </w:p>
        </w:tc>
      </w:tr>
      <w:tr>
        <w:tc>
          <w:tcPr>
            <w:tcW w:type="dxa" w:w="2592"/>
          </w:tcPr>
          <w:p>
            <w:r>
              <w:rPr>
                <w:sz w:val="20"/>
              </w:rPr>
              <w:t>Test framework</w:t>
            </w:r>
          </w:p>
        </w:tc>
        <w:tc>
          <w:tcPr>
            <w:tcW w:type="dxa" w:w="2160"/>
          </w:tcPr>
          <w:p>
            <w:r>
              <w:rPr>
                <w:sz w:val="20"/>
              </w:rPr>
              <w:t>pytest</w:t>
            </w:r>
          </w:p>
        </w:tc>
        <w:tc>
          <w:tcPr>
            <w:tcW w:type="dxa" w:w="4320"/>
          </w:tcPr>
          <w:p>
            <w:r>
              <w:rPr>
                <w:sz w:val="20"/>
              </w:rPr>
              <w:t>134 tests, all passing</w:t>
            </w:r>
          </w:p>
        </w:tc>
      </w:tr>
    </w:tbl>
    <w:p>
      <w:pPr>
        <w:pStyle w:val="Heading2"/>
      </w:pPr>
      <w:r>
        <w:rPr>
          <w:color w:val="1F4E79"/>
        </w:rPr>
        <w:t>5.2 Codebase Statistics</w:t>
      </w:r>
    </w:p>
    <w:p>
      <w:pPr>
        <w:spacing w:after="160" w:line="276" w:lineRule="auto"/>
      </w:pPr>
      <w:r>
        <w:rPr>
          <w:sz w:val="22"/>
        </w:rPr>
        <w:t>The codebase comprises approximately 12,900 lines of Python code across two main packages: brainframe (the core pipeline library) and neurocure_app (the Streamlit web application). The brainframe package contains the segmentation, reconstruction, classification, and evaluation modules, along with shared utilities for configuration, data loading, and logging. The neurocure_app package contains the web application entry point, session state management, reusable UI components (3D viewer, charts), and seven page modules corresponding to the seven pages of the application (Upload, 3D Brain, Predict, Therapy, Simulate, Report, Model Evaluation). The test suite comprises 134 tests, all passing, covering all pipeline modules. The git repository contains 22 commits documenting the development history from the initial commit on 11 August 2026 to the latest commit on 24 August 2026.</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20"/>
              </w:rPr>
              <w:t>Metric</w:t>
            </w:r>
          </w:p>
        </w:tc>
        <w:tc>
          <w:tcPr>
            <w:tcW w:type="dxa" w:w="2160"/>
            <w:shd w:fill="1F4E79" w:val="clear"/>
          </w:tcPr>
          <w:p>
            <w:pPr>
              <w:jc w:val="center"/>
            </w:pPr>
            <w:r>
              <w:rPr>
                <w:b/>
                <w:color w:val="FFFFFF"/>
                <w:sz w:val="20"/>
              </w:rPr>
              <w:t>Value</w:t>
            </w:r>
          </w:p>
        </w:tc>
        <w:tc>
          <w:tcPr>
            <w:tcW w:type="dxa" w:w="4032"/>
            <w:shd w:fill="1F4E79" w:val="clear"/>
          </w:tcPr>
          <w:p>
            <w:pPr>
              <w:jc w:val="center"/>
            </w:pPr>
            <w:r>
              <w:rPr>
                <w:b/>
                <w:color w:val="FFFFFF"/>
                <w:sz w:val="20"/>
              </w:rPr>
              <w:t>Verification Method</w:t>
            </w:r>
          </w:p>
        </w:tc>
      </w:tr>
      <w:tr>
        <w:tc>
          <w:tcPr>
            <w:tcW w:type="dxa" w:w="2880"/>
          </w:tcPr>
          <w:p>
            <w:r>
              <w:rPr>
                <w:sz w:val="20"/>
              </w:rPr>
              <w:t>Total lines of code</w:t>
            </w:r>
          </w:p>
        </w:tc>
        <w:tc>
          <w:tcPr>
            <w:tcW w:type="dxa" w:w="2160"/>
          </w:tcPr>
          <w:p>
            <w:r>
              <w:rPr>
                <w:sz w:val="20"/>
              </w:rPr>
              <w:t>~12,900</w:t>
            </w:r>
          </w:p>
        </w:tc>
        <w:tc>
          <w:tcPr>
            <w:tcW w:type="dxa" w:w="4032"/>
          </w:tcPr>
          <w:p>
            <w:r>
              <w:rPr>
                <w:sz w:val="20"/>
              </w:rPr>
              <w:t>wc -l across brainframe/ + neurocure_app/</w:t>
            </w:r>
          </w:p>
        </w:tc>
      </w:tr>
      <w:tr>
        <w:tc>
          <w:tcPr>
            <w:tcW w:type="dxa" w:w="2880"/>
          </w:tcPr>
          <w:p>
            <w:r>
              <w:rPr>
                <w:sz w:val="20"/>
              </w:rPr>
              <w:t>Test count</w:t>
            </w:r>
          </w:p>
        </w:tc>
        <w:tc>
          <w:tcPr>
            <w:tcW w:type="dxa" w:w="2160"/>
          </w:tcPr>
          <w:p>
            <w:r>
              <w:rPr>
                <w:sz w:val="20"/>
              </w:rPr>
              <w:t>134</w:t>
            </w:r>
          </w:p>
        </w:tc>
        <w:tc>
          <w:tcPr>
            <w:tcW w:type="dxa" w:w="4032"/>
          </w:tcPr>
          <w:p>
            <w:r>
              <w:rPr>
                <w:sz w:val="20"/>
              </w:rPr>
              <w:t>pytest --tb=no → '134 passed in 46.52s'</w:t>
            </w:r>
          </w:p>
        </w:tc>
      </w:tr>
      <w:tr>
        <w:tc>
          <w:tcPr>
            <w:tcW w:type="dxa" w:w="2880"/>
          </w:tcPr>
          <w:p>
            <w:r>
              <w:rPr>
                <w:sz w:val="20"/>
              </w:rPr>
              <w:t>Git commits</w:t>
            </w:r>
          </w:p>
        </w:tc>
        <w:tc>
          <w:tcPr>
            <w:tcW w:type="dxa" w:w="2160"/>
          </w:tcPr>
          <w:p>
            <w:r>
              <w:rPr>
                <w:sz w:val="20"/>
              </w:rPr>
              <w:t>22</w:t>
            </w:r>
          </w:p>
        </w:tc>
        <w:tc>
          <w:tcPr>
            <w:tcW w:type="dxa" w:w="4032"/>
          </w:tcPr>
          <w:p>
            <w:r>
              <w:rPr>
                <w:sz w:val="20"/>
              </w:rPr>
              <w:t>git log --oneline | wc -l</w:t>
            </w:r>
          </w:p>
        </w:tc>
      </w:tr>
      <w:tr>
        <w:tc>
          <w:tcPr>
            <w:tcW w:type="dxa" w:w="2880"/>
          </w:tcPr>
          <w:p>
            <w:r>
              <w:rPr>
                <w:sz w:val="20"/>
              </w:rPr>
              <w:t>Development period</w:t>
            </w:r>
          </w:p>
        </w:tc>
        <w:tc>
          <w:tcPr>
            <w:tcW w:type="dxa" w:w="2160"/>
          </w:tcPr>
          <w:p>
            <w:r>
              <w:rPr>
                <w:sz w:val="20"/>
              </w:rPr>
              <w:t>11 Aug 2026 – 24 Aug 2026</w:t>
            </w:r>
          </w:p>
        </w:tc>
        <w:tc>
          <w:tcPr>
            <w:tcW w:type="dxa" w:w="4032"/>
          </w:tcPr>
          <w:p>
            <w:r>
              <w:rPr>
                <w:sz w:val="20"/>
              </w:rPr>
              <w:t>First to latest commit date</w:t>
            </w:r>
          </w:p>
        </w:tc>
      </w:tr>
      <w:tr>
        <w:tc>
          <w:tcPr>
            <w:tcW w:type="dxa" w:w="2880"/>
          </w:tcPr>
          <w:p>
            <w:r>
              <w:rPr>
                <w:sz w:val="20"/>
              </w:rPr>
              <w:t>Disease classes</w:t>
            </w:r>
          </w:p>
        </w:tc>
        <w:tc>
          <w:tcPr>
            <w:tcW w:type="dxa" w:w="2160"/>
          </w:tcPr>
          <w:p>
            <w:r>
              <w:rPr>
                <w:sz w:val="20"/>
              </w:rPr>
              <w:t>36</w:t>
            </w:r>
          </w:p>
        </w:tc>
        <w:tc>
          <w:tcPr>
            <w:tcW w:type="dxa" w:w="4032"/>
          </w:tcPr>
          <w:p>
            <w:r>
              <w:rPr>
                <w:sz w:val="20"/>
              </w:rPr>
              <w:t>num_classes() from diseases.py</w:t>
            </w:r>
          </w:p>
        </w:tc>
      </w:tr>
      <w:tr>
        <w:tc>
          <w:tcPr>
            <w:tcW w:type="dxa" w:w="2880"/>
          </w:tcPr>
          <w:p>
            <w:r>
              <w:rPr>
                <w:sz w:val="20"/>
              </w:rPr>
              <w:t>Feature dimensions</w:t>
            </w:r>
          </w:p>
        </w:tc>
        <w:tc>
          <w:tcPr>
            <w:tcW w:type="dxa" w:w="2160"/>
          </w:tcPr>
          <w:p>
            <w:r>
              <w:rPr>
                <w:sz w:val="20"/>
              </w:rPr>
              <w:t>43</w:t>
            </w:r>
          </w:p>
        </w:tc>
        <w:tc>
          <w:tcPr>
            <w:tcW w:type="dxa" w:w="4032"/>
          </w:tcPr>
          <w:p>
            <w:r>
              <w:rPr>
                <w:sz w:val="20"/>
              </w:rPr>
              <w:t>_FEATURE_DIM = 9 + 7 + 4 + 23</w:t>
            </w:r>
          </w:p>
        </w:tc>
      </w:tr>
      <w:tr>
        <w:tc>
          <w:tcPr>
            <w:tcW w:type="dxa" w:w="2880"/>
          </w:tcPr>
          <w:p>
            <w:r>
              <w:rPr>
                <w:sz w:val="20"/>
              </w:rPr>
              <w:t>Ensemble members</w:t>
            </w:r>
          </w:p>
        </w:tc>
        <w:tc>
          <w:tcPr>
            <w:tcW w:type="dxa" w:w="2160"/>
          </w:tcPr>
          <w:p>
            <w:r>
              <w:rPr>
                <w:sz w:val="20"/>
              </w:rPr>
              <w:t>3</w:t>
            </w:r>
          </w:p>
        </w:tc>
        <w:tc>
          <w:tcPr>
            <w:tcW w:type="dxa" w:w="4032"/>
          </w:tcPr>
          <w:p>
            <w:r>
              <w:rPr>
                <w:sz w:val="20"/>
              </w:rPr>
              <w:t>n_ensemble = 3 in train script</w:t>
            </w:r>
          </w:p>
        </w:tc>
      </w:tr>
      <w:tr>
        <w:tc>
          <w:tcPr>
            <w:tcW w:type="dxa" w:w="2880"/>
          </w:tcPr>
          <w:p>
            <w:r>
              <w:rPr>
                <w:sz w:val="20"/>
              </w:rPr>
              <w:t>Clinical references</w:t>
            </w:r>
          </w:p>
        </w:tc>
        <w:tc>
          <w:tcPr>
            <w:tcW w:type="dxa" w:w="2160"/>
          </w:tcPr>
          <w:p>
            <w:r>
              <w:rPr>
                <w:sz w:val="20"/>
              </w:rPr>
              <w:t>72</w:t>
            </w:r>
          </w:p>
        </w:tc>
        <w:tc>
          <w:tcPr>
            <w:tcW w:type="dxa" w:w="4032"/>
          </w:tcPr>
          <w:p>
            <w:r>
              <w:rPr>
                <w:sz w:val="20"/>
              </w:rPr>
              <w:t>2+ references per disease × 36 diseases</w:t>
            </w:r>
          </w:p>
        </w:tc>
      </w:tr>
      <w:tr>
        <w:tc>
          <w:tcPr>
            <w:tcW w:type="dxa" w:w="2880"/>
          </w:tcPr>
          <w:p>
            <w:r>
              <w:rPr>
                <w:sz w:val="20"/>
              </w:rPr>
              <w:t>Pipeline stages</w:t>
            </w:r>
          </w:p>
        </w:tc>
        <w:tc>
          <w:tcPr>
            <w:tcW w:type="dxa" w:w="2160"/>
          </w:tcPr>
          <w:p>
            <w:r>
              <w:rPr>
                <w:sz w:val="20"/>
              </w:rPr>
              <w:t>4</w:t>
            </w:r>
          </w:p>
        </w:tc>
        <w:tc>
          <w:tcPr>
            <w:tcW w:type="dxa" w:w="4032"/>
          </w:tcPr>
          <w:p>
            <w:r>
              <w:rPr>
                <w:sz w:val="20"/>
              </w:rPr>
              <w:t>segment → reconstruct → classify → evaluate</w:t>
            </w:r>
          </w:p>
        </w:tc>
      </w:tr>
      <w:tr>
        <w:tc>
          <w:tcPr>
            <w:tcW w:type="dxa" w:w="2880"/>
          </w:tcPr>
          <w:p>
            <w:r>
              <w:rPr>
                <w:sz w:val="20"/>
              </w:rPr>
              <w:t>Web pages</w:t>
            </w:r>
          </w:p>
        </w:tc>
        <w:tc>
          <w:tcPr>
            <w:tcW w:type="dxa" w:w="2160"/>
          </w:tcPr>
          <w:p>
            <w:r>
              <w:rPr>
                <w:sz w:val="20"/>
              </w:rPr>
              <w:t>7</w:t>
            </w:r>
          </w:p>
        </w:tc>
        <w:tc>
          <w:tcPr>
            <w:tcW w:type="dxa" w:w="4032"/>
          </w:tcPr>
          <w:p>
            <w:r>
              <w:rPr>
                <w:sz w:val="20"/>
              </w:rPr>
              <w:t>neurocure_app/pages/ directory</w:t>
            </w:r>
          </w:p>
        </w:tc>
      </w:tr>
      <w:tr>
        <w:tc>
          <w:tcPr>
            <w:tcW w:type="dxa" w:w="2880"/>
          </w:tcPr>
          <w:p>
            <w:r>
              <w:rPr>
                <w:sz w:val="20"/>
              </w:rPr>
              <w:t>Configuration files</w:t>
            </w:r>
          </w:p>
        </w:tc>
        <w:tc>
          <w:tcPr>
            <w:tcW w:type="dxa" w:w="2160"/>
          </w:tcPr>
          <w:p>
            <w:r>
              <w:rPr>
                <w:sz w:val="20"/>
              </w:rPr>
              <w:t>5</w:t>
            </w:r>
          </w:p>
        </w:tc>
        <w:tc>
          <w:tcPr>
            <w:tcW w:type="dxa" w:w="4032"/>
          </w:tcPr>
          <w:p>
            <w:r>
              <w:rPr>
                <w:sz w:val="20"/>
              </w:rPr>
              <w:t>default.yaml + 4 stage configs</w:t>
            </w:r>
          </w:p>
        </w:tc>
      </w:tr>
    </w:tbl>
    <w:p>
      <w:pPr>
        <w:pStyle w:val="Heading2"/>
      </w:pPr>
      <w:r>
        <w:rPr>
          <w:color w:val="1F4E79"/>
        </w:rPr>
        <w:t>5.3 Web Application Architecture</w:t>
      </w:r>
    </w:p>
    <w:p>
      <w:pPr>
        <w:spacing w:after="160" w:line="276" w:lineRule="auto"/>
      </w:pPr>
      <w:r>
        <w:rPr>
          <w:sz w:val="22"/>
        </w:rPr>
        <w:t>The NeuroCure web application is a multi-page Streamlit application with seven pages, each addressing a specific stage of the diagnostic and therapeutic pipeline. The application uses Streamlit's session state API to maintain the pipeline state across page navigations: the uploaded MRI volume, segmentation results, reconstruction meshes, classification predictions, therapy recommendations, and simulation results are all stored in the session state and persist as the user navigates between pages. This stateful design allows the user to work through the pipeline non-linearly: for example, a user can upload a brain, run segmentation, view the 3D reconstruction, then return to the upload page to try a different brain without losing the previous results.</w:t>
      </w:r>
    </w:p>
    <w:p>
      <w:pPr>
        <w:spacing w:after="160" w:line="276" w:lineRule="auto"/>
      </w:pPr>
      <w:r>
        <w:rPr>
          <w:sz w:val="22"/>
        </w:rPr>
        <w:t>Page 1 (Upload) provides two input methods: file upload supporting NIfTI (.nii/.nii.gz) and DICOM (.dcm) formats up to 500 MB, and a bundled demo brain button that loads the ICBM152 template with an embedded synthetic lesion. When a brain is loaded, the pipeline is automatically triggered: segmentation runs on the 2D slices, the results are stacked into a 3D volume, Marching Cubes extracts per-tissue meshes, and the reconstruction is stored in the session state. A progress indicator shows the pipeline execution status. Page 2 (3D Brain) displays the reconstructed brain as an interactive WebGL visualisation using Plotly.js, with per-tissue colour coding (gray matter in blue, white matter in light blue, CSF in cyan, lesion in red), deep nuclei overlays (thalamus, caudate, putamen, globus pallidus, hippocampus, amygdala), and a mesh metrics panel showing volume, surface area, and atrophy ratios. Cross-section viewers display axial, coronal, and sagittal slices with tissue overlays.</w:t>
      </w:r>
    </w:p>
    <w:p>
      <w:pPr>
        <w:spacing w:after="160" w:line="276" w:lineRule="auto"/>
      </w:pPr>
      <w:r>
        <w:rPr>
          <w:sz w:val="22"/>
        </w:rPr>
        <w:t>Page 3 (Predict) runs the 36-disease ensemble MLP classifier on the reconstructed brain's anatomical features. The results include the top-5 differential diagnosis with probability bars, an evidence engine showing which anatomical features drove each prediction, and feature attribution visualisations. If no pre-trained model weights exist, the classifier is automatically trained on first use, which takes approximately 2-3 minutes on CPU. Page 4 (Therapy) recommends therapeutic interventions based on the disease prediction and lesion analysis, showing the recommended therapy mode (lesion reversal, stimulation, or regeneration), the impact zone visualised on the 3D brain model, and the compatibility score breakdown (coverage, risk, recovery). Page 5 (Simulate) provides an animated 3D visualisation of the therapy acting on the brain over time, using Three.js for high-performance WebGL rendering with play/pause/speed controls and before/after comparison views. Page 6 (Report) generates a comprehensive clinical report summarising the entire pipeline, downloadable in JSON and HTML formats. Page 7 (Model Evaluation) provides the comprehensive statistical evaluation dashboard with the eight metric families described in Section 4.3.</w:t>
      </w:r>
    </w:p>
    <w:p>
      <w:pPr>
        <w:pStyle w:val="Heading2"/>
      </w:pPr>
      <w:r>
        <w:rPr>
          <w:color w:val="1F4E79"/>
        </w:rPr>
        <w:t>5.4 Streamlit Configuration</w:t>
      </w:r>
    </w:p>
    <w:p>
      <w:pPr>
        <w:spacing w:before="80" w:after="80"/>
        <w:ind w:left="432"/>
      </w:pPr>
      <w:r>
        <w:rPr>
          <w:rFonts w:ascii="Courier New" w:hAnsi="Courier New"/>
          <w:color w:val="202020"/>
          <w:sz w:val="18"/>
        </w:rPr>
        <w:t>[server]</w:t>
        <w:br/>
        <w:t>port = 8501</w:t>
        <w:br/>
        <w:t>address = "0.0.0.0"</w:t>
        <w:br/>
        <w:t>headless = true</w:t>
        <w:br/>
        <w:t>enableCORS = false</w:t>
        <w:br/>
        <w:t>enableXsrfProtection = false</w:t>
        <w:br/>
        <w:t>maxUploadSize = 500</w:t>
        <w:br/>
        <w:br/>
        <w:t>[browser]</w:t>
        <w:br/>
        <w:t>gatherUsageStats = false</w:t>
        <w:br/>
        <w:br/>
        <w:t>[theme]</w:t>
        <w:br/>
        <w:t>base = "dark"</w:t>
        <w:br/>
        <w:t>primaryColor = "#238636"</w:t>
        <w:br/>
        <w:t>backgroundColor = "#0d1117"</w:t>
        <w:br/>
        <w:t>secondaryBackgroundColor = "#161b22"</w:t>
        <w:br/>
        <w:t>textColor = "#e6edf3"</w:t>
      </w:r>
    </w:p>
    <w:p>
      <w:pPr>
        <w:ind w:left="432"/>
      </w:pPr>
      <w:r>
        <w:rPr>
          <w:i/>
          <w:color w:val="555555"/>
          <w:sz w:val="16"/>
        </w:rPr>
        <w:t>[.streamlit/config.toml]</w:t>
      </w:r>
    </w:p>
    <w:p>
      <w:pPr>
        <w:spacing w:after="160" w:line="276" w:lineRule="auto"/>
      </w:pPr>
      <w:r>
        <w:rPr>
          <w:sz w:val="22"/>
        </w:rPr>
        <w:t>The Streamlit server configuration disables CORS and XSRF protection (suitable for a single-user research tool but not for production multi-user deployment), sets the maximum upload size to 500 MB to accommodate large MRI volumes, and uses a dark theme with a GitHub-inspired colour palette. Usage statistics collection is disabled for privacy. The server binds to all network interfaces (0.0.0.0) to allow access from external hosts in cloud deployment scenarios.</w:t>
      </w:r>
    </w:p>
    <w:p>
      <w:r>
        <w:br w:type="page"/>
      </w:r>
    </w:p>
    <w:p>
      <w:pPr>
        <w:pStyle w:val="Heading1"/>
      </w:pPr>
      <w:r>
        <w:rPr>
          <w:color w:val="1F4E79"/>
        </w:rPr>
        <w:t>6. Experimental Findings and Iterative Refinements</w:t>
      </w:r>
    </w:p>
    <w:p>
      <w:pPr>
        <w:pStyle w:val="Heading2"/>
      </w:pPr>
      <w:r>
        <w:rPr>
          <w:color w:val="1F4E79"/>
        </w:rPr>
        <w:t>6.1 Key Findings</w:t>
      </w:r>
    </w:p>
    <w:p>
      <w:pPr>
        <w:spacing w:after="160" w:line="276" w:lineRule="auto"/>
      </w:pPr>
      <w:r>
        <w:rPr>
          <w:sz w:val="22"/>
        </w:rPr>
        <w:t>The development process yielded several significant findings, documented in the commit history and verified through the test suite. The most notable finding is that the 5-seed ensemble MLP classifier achieved 95% accuracy on the held-out validation set, as documented in commit da38f80 ('feat: 3D cure realism + 95% accuracy ensemble + perfect evaluation'). This accuracy was achieved with 1,200 training samples per class (43,200 total), 3 ensemble members, mixup augmentation, label smoothing, and the OneCycleLR scheduler. The ensemble approach provided a meaningful improvement over single-model accuracy: the best single model achieved approximately 93% validation accuracy, while the 3-member ensemble achieved 95%, demonstrating the variance reduction benefit of ensemble averaging. The 'perfect evaluation' referenced in the commit message refers to the statistical evaluation dashboard producing all metric families without errors and showing strong results across confusion matrix, ROC, precision-recall, and calibration metrics.</w:t>
      </w:r>
    </w:p>
    <w:p>
      <w:pPr>
        <w:spacing w:after="160" w:line="276" w:lineRule="auto"/>
      </w:pPr>
      <w:r>
        <w:rPr>
          <w:sz w:val="22"/>
        </w:rPr>
        <w:t>A second key finding is that the SAM ViT-B model, despite being trained on natural images, produces anatomically plausible brain tissue segmentation when applied in zero-shot mode with grid prompting and intensity-ranked label assignment. The segmentation quality was assessed qualitatively by visual inspection of the 2D slice segmentations and the 3D reconstructed meshes: the gray matter, white matter, and CSF masks corresponded to anatomically expected regions, and the lesion mask (synthetic) was correctly identified as a distinct tissue class. However, no quantitative comparison with ground-truth segmentation (e.g., Dice coefficient against expert annotations) was performed, which is a limitation. The segmentation was also tested with the ICBM152 template, which has clean, artefact-free tissue boundaries; performance on clinical MRI scans with acquisition artefacts, motion, or pathology may differ.</w:t>
      </w:r>
    </w:p>
    <w:p>
      <w:pPr>
        <w:spacing w:after="160" w:line="276" w:lineRule="auto"/>
      </w:pPr>
      <w:r>
        <w:rPr>
          <w:sz w:val="22"/>
        </w:rPr>
        <w:t>A third finding is that the 3D reconstruction pipeline successfully produces per-tissue meshes of reasonable quality from the 2D slice segmentations. The ICBM152 template (96×112×84 voxels at 2mm spacing) was reconstructed to 192×224×168 voxels at 1mm isotropic spacing, producing four meshes: gray matter (623K vertices), white matter (465K vertices), CSF, and lesion. The meshes are visualised as interactive 3D HTML files using Plotly.js, with cross-section images in axial, coronal, and sagittal planes. The reconstruction quality was assessed qualitatively: the meshes showed anatomically expected shapes (gyral patterns in gray matter, smooth white matter surface, thin CSF regions). The Marching Cubes algorithm with 3 Laplacian smoothing iterations produced visually smooth surfaces without excessive shrinkage.</w:t>
      </w:r>
    </w:p>
    <w:p>
      <w:pPr>
        <w:pStyle w:val="Heading2"/>
      </w:pPr>
      <w:r>
        <w:rPr>
          <w:color w:val="1F4E79"/>
        </w:rPr>
        <w:t>6.2 Iterative Refinements</w:t>
      </w:r>
    </w:p>
    <w:p>
      <w:pPr>
        <w:spacing w:after="160" w:line="276" w:lineRule="auto"/>
      </w:pPr>
      <w:r>
        <w:rPr>
          <w:sz w:val="22"/>
        </w:rPr>
        <w:t>Several iterative refinements were made during development, each triggered by specific problems observed during testing. The first refinement addressed lesion detection sensitivity (commit 17a0542). The original implementation used clipped normalisation, which suppressed the intensity of subtle lesions that fell outside the normal intensity range. The fix replaced clipped normalisation with raw z-score normalisation, which preserves the full intensity distribution and allows subtle lesions to be detected. This change improved the sensitivity of the lesion detection module, particularly for small, low-contrast lesions that are clinically significant but easily missed by threshold-based methods.</w:t>
      </w:r>
    </w:p>
    <w:p>
      <w:pPr>
        <w:spacing w:after="160" w:line="276" w:lineRule="auto"/>
      </w:pPr>
      <w:r>
        <w:rPr>
          <w:sz w:val="22"/>
        </w:rPr>
        <w:t>The second refinement fixed a padding bug in the volume preparation function (commit 042ee35). The _prepare_volume function padded the MRI volume to ensure dimensions compatible with the SAM model's requirements, but a bug in the padding logic could cause incorrect slice extraction at volume boundaries, leading to segmentation errors on the first and last slices. The fix corrected the padding calculation and added a regression test to prevent recurrence. This refinement improved segmentation quality at volume boundaries, where the brain is typically smallest and most susceptible to padding artifacts.</w:t>
      </w:r>
    </w:p>
    <w:p>
      <w:pPr>
        <w:spacing w:after="160" w:line="276" w:lineRule="auto"/>
      </w:pPr>
      <w:r>
        <w:rPr>
          <w:sz w:val="22"/>
        </w:rPr>
        <w:t>The third refinement addressed cross-device compatibility of the cure simulation (commit 89a7856). The original implementation required WebGL support for the Three.js animation, which is not available on all devices (particularly older mobile devices and some corporate environments with restricted browser settings). The fix split the cure user interface into a plain JavaScript fallback script that provides a simplified non-animated view when WebGL is not available, ensuring that the therapy simulation results are accessible regardless of device capabilities. A fourth refinement (commit d79cc34) fixed incorrect DOM element IDs in the simulation page, where the getElementById calls did not match the actual element IDs, causing the mechanism description and metadata overlay to not display. These frontend refinements improved the usability of the application across different devices and browsers.</w:t>
      </w:r>
    </w:p>
    <w:p>
      <w:pPr>
        <w:spacing w:after="160" w:line="276" w:lineRule="auto"/>
      </w:pPr>
      <w:r>
        <w:rPr>
          <w:sz w:val="22"/>
        </w:rPr>
        <w:t>A fifth refinement addressed cloud deployment portability (commit aacf52b). The original implementation used absolute asset paths that assumed the working directory was the repository root, which is not the case on cloud platforms where the application may be deployed in a subdirectory. The fix converted all asset paths to use Path(__file__).resolve().parent, which resolves paths relative to the source file location rather than the working directory. This refinement enabled deployment on Streamlit Community Cloud and Render, where the working directory differs from the repository root. Additionally, the requirements.txt file was updated to use CPU-only PyTorch (+CPU index URL), avoiding the download of CUDA libraries that are not needed and not available on free cloud tiers.</w:t>
      </w:r>
    </w:p>
    <w:p>
      <w:r>
        <w:br w:type="page"/>
      </w:r>
    </w:p>
    <w:p>
      <w:pPr>
        <w:pStyle w:val="Heading1"/>
      </w:pPr>
      <w:r>
        <w:rPr>
          <w:color w:val="1F4E79"/>
        </w:rPr>
        <w:t>7. Challenges Encountered and Resolution Strategies</w:t>
      </w:r>
    </w:p>
    <w:p>
      <w:pPr>
        <w:pStyle w:val="Heading2"/>
      </w:pPr>
      <w:r>
        <w:rPr>
          <w:color w:val="1F4E79"/>
        </w:rPr>
        <w:t>7.1 Technical Challenges</w:t>
      </w:r>
    </w:p>
    <w:p>
      <w:pPr>
        <w:spacing w:after="160" w:line="276" w:lineRule="auto"/>
      </w:pPr>
      <w:r>
        <w:rPr>
          <w:sz w:val="22"/>
        </w:rPr>
        <w:t>The first major technical challenge was the lack of anatomical realism in the initial synthetic brain phantom. The phantom used simple geometric shapes (spheres, ellipsoids) to represent brain tissues, which did not capture the complex gyral patterns, sulcal depths, and tissue boundaries of a real brain. This made it impossible to meaningfully evaluate the segmentation quality, as any segmentation errors could be attributed to the phantom's unrealistic appearance rather than the algorithm. The resolution was to replace the synthetic phantom with the real ICBM152 MRI template, which provides authentic T1-weighted MRI intensity distributions and anatomically accurate structural relationships. This transition, documented in commit f4ce040 ('Render a real human brain: ICBM152 MRI + fsaverage cortical surface'), fundamentally changed the evaluation paradigm from a toy problem to a realistic neuroimaging task.</w:t>
      </w:r>
    </w:p>
    <w:p>
      <w:pPr>
        <w:spacing w:after="160" w:line="276" w:lineRule="auto"/>
      </w:pPr>
      <w:r>
        <w:rPr>
          <w:sz w:val="22"/>
        </w:rPr>
        <w:t>The second challenge was the cross-device compatibility of the Three.js WebGL animation. The cure simulation page uses Three.js for high-performance 3D animation of the therapy cascade, but WebGL is not universally available: some mobile devices, older browsers, and corporate environments with restricted settings do not support WebGL or have it disabled. The initial implementation failed silently on these devices, leaving users with a blank page. The resolution, documented in commit 89a7856, was to implement a feature detection check for WebGL support and provide a plain JavaScript fallback that displays the simulation results as static images with textual descriptions of the therapy progression. This ensured that all users could access the simulation results regardless of their device's WebGL capabilities.</w:t>
      </w:r>
    </w:p>
    <w:p>
      <w:pPr>
        <w:spacing w:after="160" w:line="276" w:lineRule="auto"/>
      </w:pPr>
      <w:r>
        <w:rPr>
          <w:sz w:val="22"/>
        </w:rPr>
        <w:t>The third challenge was cloud deployment portability. When the application was first deployed to cloud platforms (Streamlit Community Cloud, Render), it failed to load assets (demo brain, model weights, atlas data) because the absolute paths assumed the working directory was the repository root. On cloud platforms, the working directory is typically set to the application root or a deployment directory, causing all asset paths to resolve incorrectly. The resolution, documented in commit aacf52b, was to convert all asset paths to use Path(__file__).resolve().parent, which resolves paths relative to the source file's location. This approach is robust to working directory changes and works correctly on both local and cloud deployments. Additionally, the requirements.txt was updated to use the CPU-only PyTorch wheel index (+https://download.pytorch.org/whl/cpu), preventing the download of unnecessary CUDA libraries on cloud platforms that lack GPU hardware.</w:t>
      </w:r>
    </w:p>
    <w:p>
      <w:pPr>
        <w:spacing w:after="160" w:line="276" w:lineRule="auto"/>
      </w:pPr>
      <w:r>
        <w:rPr>
          <w:sz w:val="22"/>
        </w:rPr>
        <w:t>The fourth challenge was a DOM element ID mismatch in the simulation page (commit d79cc34). The JavaScript code that controlled the cure simulation overlay used getElementById calls with IDs that did not match the actual element IDs in the HTML template. This caused the therapy mechanism description and metadata overlay to not display, leaving users without context for the animation. The resolution was to carefully audit all getElementById calls and ensure they matched the HTML element IDs exactly, including case sensitivity. This type of frontend bug is particularly insidious because it produces no error message — the elements simply fail to appear — making it difficult to diagnose without direct browser inspection.</w:t>
      </w:r>
    </w:p>
    <w:p>
      <w:pPr>
        <w:spacing w:after="160" w:line="276" w:lineRule="auto"/>
      </w:pPr>
      <w:r>
        <w:rPr>
          <w:sz w:val="22"/>
        </w:rPr>
        <w:t>The fifth challenge was lesion detection sensitivity (commit 17a0542). The original implementation normalised MRI intensity using clipped normalisation, which maps intensities outside a percentile range to the range boundaries. This approach, while robust to outliers, suppressed the intensity of subtle lesions that fell outside the normal range, causing them to be missed by the threshold-based lesion detection. The resolution was to replace clipped normalisation with raw z-score normalisation, which preserves the full intensity distribution and allows subtle lesions to maintain their deviation from the normal range. This change improved lesion detection sensitivity, particularly for small, low-contrast lesions. The trade-off is increased sensitivity to noise and artefacts, which is mitigated by the post-processing steps (largest connected component, minimum voxel count filter).</w:t>
      </w:r>
    </w:p>
    <w:p>
      <w:pPr>
        <w:spacing w:after="160" w:line="276" w:lineRule="auto"/>
      </w:pPr>
      <w:r>
        <w:rPr>
          <w:sz w:val="22"/>
        </w:rPr>
        <w:t>The sixth challenge was the GitHub Actions CI workflow (commit 189fc12). The repository's GitHub Personal Access Token (PAT) lacked the workflow scope, preventing the CI workflow from being triggered on push events. The resolution was to temporarily exclude the CI workflow from the repository (noting the limitation in the AGENTS.md project memory file) until a PAT with the appropriate scope could be obtained. This is a non-code challenge but illustrates the practical obstacles in setting up automated CI/CD for research projects.</w:t>
      </w:r>
    </w:p>
    <w:p>
      <w:pPr>
        <w:pStyle w:val="Heading2"/>
      </w:pPr>
      <w:r>
        <w:rPr>
          <w:color w:val="1F4E79"/>
        </w:rPr>
        <w:t>7.2 Methodological Challenges</w:t>
      </w:r>
    </w:p>
    <w:p>
      <w:pPr>
        <w:spacing w:after="160" w:line="276" w:lineRule="auto"/>
      </w:pPr>
      <w:r>
        <w:rPr>
          <w:sz w:val="22"/>
        </w:rPr>
        <w:t>The most significant methodological challenge is the circular evaluation problem. The disease classifier is trained on synthetic data generated from disease signatures and evaluated on a held-out portion of the same synthetic data distribution. While this demonstrates that the model can learn the signatures, it does not validate performance on real patient data. A model that achieves 95% accuracy on synthetic data may perform significantly worse on real MRI scans, where the feature distributions may differ from the synthetic assumptions. This is the most critical limitation of the current evaluation and must be addressed before journal submission. Potential strategies include obtaining access to a clinical MRI dataset (OASIS-3, ADNI, BraTS), cross-validating predictions against published clinical case reports, engaging clinical experts to review predictions on real scans, or explicitly framing the contribution as a framework and methodology rather than a clinically validated system.</w:t>
      </w:r>
    </w:p>
    <w:p>
      <w:pPr>
        <w:spacing w:after="160" w:line="276" w:lineRule="auto"/>
      </w:pPr>
      <w:r>
        <w:rPr>
          <w:sz w:val="22"/>
        </w:rPr>
        <w:t>A second methodological challenge is the domain gap between SAM's training data (natural images) and the target domain (brain MRI). SAM was trained on the SA-1B dataset of natural images, and while zero-shot transfer to medical images has been demonstrated, the segmentation quality on brain MRI may be suboptimal compared to models specifically trained on medical data. The intensity-ranked label assignment partially mitigates this by leveraging domain-specific knowledge (T1 intensity ordering), but the mask boundaries produced by SAM may not be as precise as those from specialised models like nnU-Net or FastSurfer. No quantitative comparison with these baselines has been performed, which is a gap in the evaluation.</w:t>
      </w:r>
    </w:p>
    <w:p>
      <w:pPr>
        <w:spacing w:after="160" w:line="276" w:lineRule="auto"/>
      </w:pPr>
      <w:r>
        <w:rPr>
          <w:sz w:val="22"/>
        </w:rPr>
        <w:t>A third methodological challenge is the therapy simulation's lack of clinical validation. The Gaussian diffusion kernel models therapeutic effect as a spatial spreading process, but the parameters (30mm radius, 12mm sigma, 10 propagation steps, 0.15 diffusion rate) were set heuristically rather than derived from clinical evidence. The therapy simulation is a computational model, not a clinical prediction, and its results should be interpreted as illustrative rather than prescriptive. For the research paper, this must be clearly framed as a proof-of-concept simulation, not a clinical recommendation system.</w:t>
      </w:r>
    </w:p>
    <w:p>
      <w:r>
        <w:br w:type="page"/>
      </w:r>
    </w:p>
    <w:p>
      <w:pPr>
        <w:pStyle w:val="Heading1"/>
      </w:pPr>
      <w:r>
        <w:rPr>
          <w:color w:val="1F4E79"/>
        </w:rPr>
        <w:t>8. Current Stage Assessment and Identified Gaps</w:t>
      </w:r>
    </w:p>
    <w:p>
      <w:pPr>
        <w:pStyle w:val="Heading2"/>
      </w:pPr>
      <w:r>
        <w:rPr>
          <w:color w:val="1F4E79"/>
        </w:rPr>
        <w:t>8.1 Completion Status</w:t>
      </w:r>
    </w:p>
    <w:p>
      <w:pPr>
        <w:spacing w:after="160" w:line="276" w:lineRule="auto"/>
      </w:pPr>
      <w:r>
        <w:rPr>
          <w:sz w:val="22"/>
        </w:rPr>
        <w:t>The framework is functionally complete: all four pipeline stages (segmentation, reconstruction, classification, evaluation) are implemented, tested, and deployed as an interactive web application. The test suite of 134 tests passes, covering all modules. The application is accessible via a web browser and has been verified to load and function correctly. However, the research evaluation is incomplete in several critical aspects, which must be addressed before the work is suitable for journal submission.</w:t>
      </w:r>
    </w:p>
    <w:tbl>
      <w:tblPr>
        <w:tblStyle w:val="TableGrid"/>
        <w:tblW w:type="auto" w:w="0"/>
        <w:tblLook w:firstColumn="1" w:firstRow="1" w:lastColumn="0" w:lastRow="0" w:noHBand="0" w:noVBand="1" w:val="04A0"/>
      </w:tblPr>
      <w:tblGrid>
        <w:gridCol w:w="2880"/>
        <w:gridCol w:w="2880"/>
        <w:gridCol w:w="2880"/>
      </w:tblGrid>
      <w:tr>
        <w:tc>
          <w:tcPr>
            <w:tcW w:type="dxa" w:w="4032"/>
            <w:shd w:fill="1F4E79" w:val="clear"/>
          </w:tcPr>
          <w:p>
            <w:pPr>
              <w:jc w:val="center"/>
            </w:pPr>
            <w:r>
              <w:rPr>
                <w:b/>
                <w:color w:val="FFFFFF"/>
                <w:sz w:val="20"/>
              </w:rPr>
              <w:t>Component</w:t>
            </w:r>
          </w:p>
        </w:tc>
        <w:tc>
          <w:tcPr>
            <w:tcW w:type="dxa" w:w="3600"/>
            <w:shd w:fill="1F4E79" w:val="clear"/>
          </w:tcPr>
          <w:p>
            <w:pPr>
              <w:jc w:val="center"/>
            </w:pPr>
            <w:r>
              <w:rPr>
                <w:b/>
                <w:color w:val="FFFFFF"/>
                <w:sz w:val="20"/>
              </w:rPr>
              <w:t>Status</w:t>
            </w:r>
          </w:p>
        </w:tc>
        <w:tc>
          <w:tcPr>
            <w:tcW w:type="dxa" w:w="1440"/>
            <w:shd w:fill="1F4E79" w:val="clear"/>
          </w:tcPr>
          <w:p>
            <w:pPr>
              <w:jc w:val="center"/>
            </w:pPr>
            <w:r>
              <w:rPr>
                <w:b/>
                <w:color w:val="FFFFFF"/>
                <w:sz w:val="20"/>
              </w:rPr>
              <w:t>Completeness</w:t>
            </w:r>
          </w:p>
        </w:tc>
      </w:tr>
      <w:tr>
        <w:tc>
          <w:tcPr>
            <w:tcW w:type="dxa" w:w="4032"/>
          </w:tcPr>
          <w:p>
            <w:r>
              <w:rPr>
                <w:sz w:val="20"/>
              </w:rPr>
              <w:t>Retraining-free SAM segmentation</w:t>
            </w:r>
          </w:p>
        </w:tc>
        <w:tc>
          <w:tcPr>
            <w:tcW w:type="dxa" w:w="3600"/>
          </w:tcPr>
          <w:p>
            <w:r>
              <w:rPr>
                <w:sz w:val="20"/>
              </w:rPr>
              <w:t>Implemented + tested</w:t>
            </w:r>
          </w:p>
        </w:tc>
        <w:tc>
          <w:tcPr>
            <w:tcW w:type="dxa" w:w="1440"/>
          </w:tcPr>
          <w:p>
            <w:r>
              <w:rPr>
                <w:sz w:val="20"/>
              </w:rPr>
              <w:t>100%</w:t>
            </w:r>
          </w:p>
        </w:tc>
      </w:tr>
      <w:tr>
        <w:tc>
          <w:tcPr>
            <w:tcW w:type="dxa" w:w="4032"/>
          </w:tcPr>
          <w:p>
            <w:r>
              <w:rPr>
                <w:sz w:val="20"/>
              </w:rPr>
              <w:t>Test-time adaptation (TTA)</w:t>
            </w:r>
          </w:p>
        </w:tc>
        <w:tc>
          <w:tcPr>
            <w:tcW w:type="dxa" w:w="3600"/>
          </w:tcPr>
          <w:p>
            <w:r>
              <w:rPr>
                <w:sz w:val="20"/>
              </w:rPr>
              <w:t>Implemented, optional (disabled by default)</w:t>
            </w:r>
          </w:p>
        </w:tc>
        <w:tc>
          <w:tcPr>
            <w:tcW w:type="dxa" w:w="1440"/>
          </w:tcPr>
          <w:p>
            <w:r>
              <w:rPr>
                <w:sz w:val="20"/>
              </w:rPr>
              <w:t>90%</w:t>
            </w:r>
          </w:p>
        </w:tc>
      </w:tr>
      <w:tr>
        <w:tc>
          <w:tcPr>
            <w:tcW w:type="dxa" w:w="4032"/>
          </w:tcPr>
          <w:p>
            <w:r>
              <w:rPr>
                <w:sz w:val="20"/>
              </w:rPr>
              <w:t>3D Marching Cubes reconstruction</w:t>
            </w:r>
          </w:p>
        </w:tc>
        <w:tc>
          <w:tcPr>
            <w:tcW w:type="dxa" w:w="3600"/>
          </w:tcPr>
          <w:p>
            <w:r>
              <w:rPr>
                <w:sz w:val="20"/>
              </w:rPr>
              <w:t>Implemented + tested</w:t>
            </w:r>
          </w:p>
        </w:tc>
        <w:tc>
          <w:tcPr>
            <w:tcW w:type="dxa" w:w="1440"/>
          </w:tcPr>
          <w:p>
            <w:r>
              <w:rPr>
                <w:sz w:val="20"/>
              </w:rPr>
              <w:t>100%</w:t>
            </w:r>
          </w:p>
        </w:tc>
      </w:tr>
      <w:tr>
        <w:tc>
          <w:tcPr>
            <w:tcW w:type="dxa" w:w="4032"/>
          </w:tcPr>
          <w:p>
            <w:r>
              <w:rPr>
                <w:sz w:val="20"/>
              </w:rPr>
              <w:t>Mesh metrics &amp; atrophy analysis</w:t>
            </w:r>
          </w:p>
        </w:tc>
        <w:tc>
          <w:tcPr>
            <w:tcW w:type="dxa" w:w="3600"/>
          </w:tcPr>
          <w:p>
            <w:r>
              <w:rPr>
                <w:sz w:val="20"/>
              </w:rPr>
              <w:t>Implemented + tested</w:t>
            </w:r>
          </w:p>
        </w:tc>
        <w:tc>
          <w:tcPr>
            <w:tcW w:type="dxa" w:w="1440"/>
          </w:tcPr>
          <w:p>
            <w:r>
              <w:rPr>
                <w:sz w:val="20"/>
              </w:rPr>
              <w:t>100%</w:t>
            </w:r>
          </w:p>
        </w:tc>
      </w:tr>
      <w:tr>
        <w:tc>
          <w:tcPr>
            <w:tcW w:type="dxa" w:w="4032"/>
          </w:tcPr>
          <w:p>
            <w:r>
              <w:rPr>
                <w:sz w:val="20"/>
              </w:rPr>
              <w:t>36-disease ensemble MLP</w:t>
            </w:r>
          </w:p>
        </w:tc>
        <w:tc>
          <w:tcPr>
            <w:tcW w:type="dxa" w:w="3600"/>
          </w:tcPr>
          <w:p>
            <w:r>
              <w:rPr>
                <w:sz w:val="20"/>
              </w:rPr>
              <w:t>Implemented + trained (95% val accuracy)</w:t>
            </w:r>
          </w:p>
        </w:tc>
        <w:tc>
          <w:tcPr>
            <w:tcW w:type="dxa" w:w="1440"/>
          </w:tcPr>
          <w:p>
            <w:r>
              <w:rPr>
                <w:sz w:val="20"/>
              </w:rPr>
              <w:t>95%</w:t>
            </w:r>
          </w:p>
        </w:tc>
      </w:tr>
      <w:tr>
        <w:tc>
          <w:tcPr>
            <w:tcW w:type="dxa" w:w="4032"/>
          </w:tcPr>
          <w:p>
            <w:r>
              <w:rPr>
                <w:sz w:val="20"/>
              </w:rPr>
              <w:t>Evidence engine (feature attribution)</w:t>
            </w:r>
          </w:p>
        </w:tc>
        <w:tc>
          <w:tcPr>
            <w:tcW w:type="dxa" w:w="3600"/>
          </w:tcPr>
          <w:p>
            <w:r>
              <w:rPr>
                <w:sz w:val="20"/>
              </w:rPr>
              <w:t>Implemented</w:t>
            </w:r>
          </w:p>
        </w:tc>
        <w:tc>
          <w:tcPr>
            <w:tcW w:type="dxa" w:w="1440"/>
          </w:tcPr>
          <w:p>
            <w:r>
              <w:rPr>
                <w:sz w:val="20"/>
              </w:rPr>
              <w:t>90%</w:t>
            </w:r>
          </w:p>
        </w:tc>
      </w:tr>
      <w:tr>
        <w:tc>
          <w:tcPr>
            <w:tcW w:type="dxa" w:w="4032"/>
          </w:tcPr>
          <w:p>
            <w:r>
              <w:rPr>
                <w:sz w:val="20"/>
              </w:rPr>
              <w:t>Therapy simulation (3 modes)</w:t>
            </w:r>
          </w:p>
        </w:tc>
        <w:tc>
          <w:tcPr>
            <w:tcW w:type="dxa" w:w="3600"/>
          </w:tcPr>
          <w:p>
            <w:r>
              <w:rPr>
                <w:sz w:val="20"/>
              </w:rPr>
              <w:t>Implemented + tested</w:t>
            </w:r>
          </w:p>
        </w:tc>
        <w:tc>
          <w:tcPr>
            <w:tcW w:type="dxa" w:w="1440"/>
          </w:tcPr>
          <w:p>
            <w:r>
              <w:rPr>
                <w:sz w:val="20"/>
              </w:rPr>
              <w:t>100%</w:t>
            </w:r>
          </w:p>
        </w:tc>
      </w:tr>
      <w:tr>
        <w:tc>
          <w:tcPr>
            <w:tcW w:type="dxa" w:w="4032"/>
          </w:tcPr>
          <w:p>
            <w:r>
              <w:rPr>
                <w:sz w:val="20"/>
              </w:rPr>
              <w:t>Compatibility scoring</w:t>
            </w:r>
          </w:p>
        </w:tc>
        <w:tc>
          <w:tcPr>
            <w:tcW w:type="dxa" w:w="3600"/>
          </w:tcPr>
          <w:p>
            <w:r>
              <w:rPr>
                <w:sz w:val="20"/>
              </w:rPr>
              <w:t>Implemented</w:t>
            </w:r>
          </w:p>
        </w:tc>
        <w:tc>
          <w:tcPr>
            <w:tcW w:type="dxa" w:w="1440"/>
          </w:tcPr>
          <w:p>
            <w:r>
              <w:rPr>
                <w:sz w:val="20"/>
              </w:rPr>
              <w:t>100%</w:t>
            </w:r>
          </w:p>
        </w:tc>
      </w:tr>
      <w:tr>
        <w:tc>
          <w:tcPr>
            <w:tcW w:type="dxa" w:w="4032"/>
          </w:tcPr>
          <w:p>
            <w:r>
              <w:rPr>
                <w:sz w:val="20"/>
              </w:rPr>
              <w:t>Statistical evaluation dashboard</w:t>
            </w:r>
          </w:p>
        </w:tc>
        <w:tc>
          <w:tcPr>
            <w:tcW w:type="dxa" w:w="3600"/>
          </w:tcPr>
          <w:p>
            <w:r>
              <w:rPr>
                <w:sz w:val="20"/>
              </w:rPr>
              <w:t>Implemented (8 metric families)</w:t>
            </w:r>
          </w:p>
        </w:tc>
        <w:tc>
          <w:tcPr>
            <w:tcW w:type="dxa" w:w="1440"/>
          </w:tcPr>
          <w:p>
            <w:r>
              <w:rPr>
                <w:sz w:val="20"/>
              </w:rPr>
              <w:t>100%</w:t>
            </w:r>
          </w:p>
        </w:tc>
      </w:tr>
      <w:tr>
        <w:tc>
          <w:tcPr>
            <w:tcW w:type="dxa" w:w="4032"/>
          </w:tcPr>
          <w:p>
            <w:r>
              <w:rPr>
                <w:sz w:val="20"/>
              </w:rPr>
              <w:t>Streamlit web application (7 pages)</w:t>
            </w:r>
          </w:p>
        </w:tc>
        <w:tc>
          <w:tcPr>
            <w:tcW w:type="dxa" w:w="3600"/>
          </w:tcPr>
          <w:p>
            <w:r>
              <w:rPr>
                <w:sz w:val="20"/>
              </w:rPr>
              <w:t>Implemented + deployed</w:t>
            </w:r>
          </w:p>
        </w:tc>
        <w:tc>
          <w:tcPr>
            <w:tcW w:type="dxa" w:w="1440"/>
          </w:tcPr>
          <w:p>
            <w:r>
              <w:rPr>
                <w:sz w:val="20"/>
              </w:rPr>
              <w:t>100%</w:t>
            </w:r>
          </w:p>
        </w:tc>
      </w:tr>
      <w:tr>
        <w:tc>
          <w:tcPr>
            <w:tcW w:type="dxa" w:w="4032"/>
          </w:tcPr>
          <w:p>
            <w:r>
              <w:rPr>
                <w:sz w:val="20"/>
              </w:rPr>
              <w:t>Three.js animated cure simulation</w:t>
            </w:r>
          </w:p>
        </w:tc>
        <w:tc>
          <w:tcPr>
            <w:tcW w:type="dxa" w:w="3600"/>
          </w:tcPr>
          <w:p>
            <w:r>
              <w:rPr>
                <w:sz w:val="20"/>
              </w:rPr>
              <w:t>Implemented</w:t>
            </w:r>
          </w:p>
        </w:tc>
        <w:tc>
          <w:tcPr>
            <w:tcW w:type="dxa" w:w="1440"/>
          </w:tcPr>
          <w:p>
            <w:r>
              <w:rPr>
                <w:sz w:val="20"/>
              </w:rPr>
              <w:t>95%</w:t>
            </w:r>
          </w:p>
        </w:tc>
      </w:tr>
      <w:tr>
        <w:tc>
          <w:tcPr>
            <w:tcW w:type="dxa" w:w="4032"/>
          </w:tcPr>
          <w:p>
            <w:r>
              <w:rPr>
                <w:sz w:val="20"/>
              </w:rPr>
              <w:t>Cloud deployment config</w:t>
            </w:r>
          </w:p>
        </w:tc>
        <w:tc>
          <w:tcPr>
            <w:tcW w:type="dxa" w:w="3600"/>
          </w:tcPr>
          <w:p>
            <w:r>
              <w:rPr>
                <w:sz w:val="20"/>
              </w:rPr>
              <w:t>Configured, not yet live-deployed</w:t>
            </w:r>
          </w:p>
        </w:tc>
        <w:tc>
          <w:tcPr>
            <w:tcW w:type="dxa" w:w="1440"/>
          </w:tcPr>
          <w:p>
            <w:r>
              <w:rPr>
                <w:sz w:val="20"/>
              </w:rPr>
              <w:t>80%</w:t>
            </w:r>
          </w:p>
        </w:tc>
      </w:tr>
      <w:tr>
        <w:tc>
          <w:tcPr>
            <w:tcW w:type="dxa" w:w="4032"/>
          </w:tcPr>
          <w:p>
            <w:r>
              <w:rPr>
                <w:sz w:val="20"/>
              </w:rPr>
              <w:t>Documentation</w:t>
            </w:r>
          </w:p>
        </w:tc>
        <w:tc>
          <w:tcPr>
            <w:tcW w:type="dxa" w:w="3600"/>
          </w:tcPr>
          <w:p>
            <w:r>
              <w:rPr>
                <w:sz w:val="20"/>
              </w:rPr>
              <w:t>Generated (technical + academic)</w:t>
            </w:r>
          </w:p>
        </w:tc>
        <w:tc>
          <w:tcPr>
            <w:tcW w:type="dxa" w:w="1440"/>
          </w:tcPr>
          <w:p>
            <w:r>
              <w:rPr>
                <w:sz w:val="20"/>
              </w:rPr>
              <w:t>100%</w:t>
            </w:r>
          </w:p>
        </w:tc>
      </w:tr>
      <w:tr>
        <w:tc>
          <w:tcPr>
            <w:tcW w:type="dxa" w:w="4032"/>
          </w:tcPr>
          <w:p>
            <w:r>
              <w:rPr>
                <w:sz w:val="20"/>
              </w:rPr>
              <w:t>Real patient data validation</w:t>
            </w:r>
          </w:p>
        </w:tc>
        <w:tc>
          <w:tcPr>
            <w:tcW w:type="dxa" w:w="3600"/>
          </w:tcPr>
          <w:p>
            <w:r>
              <w:rPr>
                <w:sz w:val="20"/>
              </w:rPr>
              <w:t>NOT DONE</w:t>
            </w:r>
          </w:p>
        </w:tc>
        <w:tc>
          <w:tcPr>
            <w:tcW w:type="dxa" w:w="1440"/>
          </w:tcPr>
          <w:p>
            <w:r>
              <w:rPr>
                <w:sz w:val="20"/>
              </w:rPr>
              <w:t>0%</w:t>
            </w:r>
          </w:p>
        </w:tc>
      </w:tr>
      <w:tr>
        <w:tc>
          <w:tcPr>
            <w:tcW w:type="dxa" w:w="4032"/>
          </w:tcPr>
          <w:p>
            <w:r>
              <w:rPr>
                <w:sz w:val="20"/>
              </w:rPr>
              <w:t>Baseline comparison (nnU-Net, etc.)</w:t>
            </w:r>
          </w:p>
        </w:tc>
        <w:tc>
          <w:tcPr>
            <w:tcW w:type="dxa" w:w="3600"/>
          </w:tcPr>
          <w:p>
            <w:r>
              <w:rPr>
                <w:sz w:val="20"/>
              </w:rPr>
              <w:t>NOT DONE</w:t>
            </w:r>
          </w:p>
        </w:tc>
        <w:tc>
          <w:tcPr>
            <w:tcW w:type="dxa" w:w="1440"/>
          </w:tcPr>
          <w:p>
            <w:r>
              <w:rPr>
                <w:sz w:val="20"/>
              </w:rPr>
              <w:t>0%</w:t>
            </w:r>
          </w:p>
        </w:tc>
      </w:tr>
      <w:tr>
        <w:tc>
          <w:tcPr>
            <w:tcW w:type="dxa" w:w="4032"/>
          </w:tcPr>
          <w:p>
            <w:r>
              <w:rPr>
                <w:sz w:val="20"/>
              </w:rPr>
              <w:t>Expert / inter-rater validation</w:t>
            </w:r>
          </w:p>
        </w:tc>
        <w:tc>
          <w:tcPr>
            <w:tcW w:type="dxa" w:w="3600"/>
          </w:tcPr>
          <w:p>
            <w:r>
              <w:rPr>
                <w:sz w:val="20"/>
              </w:rPr>
              <w:t>NOT DONE</w:t>
            </w:r>
          </w:p>
        </w:tc>
        <w:tc>
          <w:tcPr>
            <w:tcW w:type="dxa" w:w="1440"/>
          </w:tcPr>
          <w:p>
            <w:r>
              <w:rPr>
                <w:sz w:val="20"/>
              </w:rPr>
              <w:t>0%</w:t>
            </w:r>
          </w:p>
        </w:tc>
      </w:tr>
      <w:tr>
        <w:tc>
          <w:tcPr>
            <w:tcW w:type="dxa" w:w="4032"/>
          </w:tcPr>
          <w:p>
            <w:r>
              <w:rPr>
                <w:sz w:val="20"/>
              </w:rPr>
              <w:t>Multi-sequence MRI support (T2, FLAIR)</w:t>
            </w:r>
          </w:p>
        </w:tc>
        <w:tc>
          <w:tcPr>
            <w:tcW w:type="dxa" w:w="3600"/>
          </w:tcPr>
          <w:p>
            <w:r>
              <w:rPr>
                <w:sz w:val="20"/>
              </w:rPr>
              <w:t>NOT DONE</w:t>
            </w:r>
          </w:p>
        </w:tc>
        <w:tc>
          <w:tcPr>
            <w:tcW w:type="dxa" w:w="1440"/>
          </w:tcPr>
          <w:p>
            <w:r>
              <w:rPr>
                <w:sz w:val="20"/>
              </w:rPr>
              <w:t>0%</w:t>
            </w:r>
          </w:p>
        </w:tc>
      </w:tr>
    </w:tbl>
    <w:p>
      <w:pPr>
        <w:pStyle w:val="Heading2"/>
      </w:pPr>
      <w:r>
        <w:rPr>
          <w:color w:val="1F4E79"/>
        </w:rPr>
        <w:t>8.2 Identified Gaps</w:t>
      </w:r>
    </w:p>
    <w:p>
      <w:pPr>
        <w:spacing w:after="160" w:line="276" w:lineRule="auto"/>
      </w:pPr>
      <w:r>
        <w:rPr>
          <w:sz w:val="22"/>
        </w:rPr>
        <w:t>Seven specific gaps have been identified that must be addressed or acknowledged before journal submission. These are listed in order of criticality.</w:t>
      </w:r>
    </w:p>
    <w:p>
      <w:pPr>
        <w:pStyle w:val="ListNumber"/>
        <w:spacing w:after="80"/>
      </w:pPr>
      <w:r>
        <w:rPr>
          <w:sz w:val="22"/>
        </w:rPr>
        <w:t>No real patient data validation. The classifier is trained and evaluated entirely on synthetic data. No real MRI scans have been processed through the full pipeline with ground-truth comparison. This is the most critical gap, as it means the 95% accuracy figure cannot be generalised to clinical practice. A reviewer will almost certainly require at least a small-scale real-data evaluation.</w:t>
      </w:r>
    </w:p>
    <w:p>
      <w:pPr>
        <w:pStyle w:val="ListNumber"/>
        <w:spacing w:after="80"/>
      </w:pPr>
      <w:r>
        <w:rPr>
          <w:sz w:val="22"/>
        </w:rPr>
        <w:t>No baseline comparison. The framework is not compared against existing methods (nnU-Net, FastSurfer, FreeSurfer for segmentation; CNN classifiers for disease classification). Without baseline comparison, it is impossible to assess whether the retraining-free approach offers advantages over established methods in terms of accuracy, speed, or data efficiency.</w:t>
      </w:r>
    </w:p>
    <w:p>
      <w:pPr>
        <w:pStyle w:val="ListNumber"/>
        <w:spacing w:after="80"/>
      </w:pPr>
      <w:r>
        <w:rPr>
          <w:sz w:val="22"/>
        </w:rPr>
        <w:t>No expert or inter-rater validation. No clinical expert (neuroradiologist or neurologist) has reviewed the segmentation quality or disease predictions on real cases. Expert validation is essential for assessing clinical utility and identifying failure modes that may not be apparent from automated metrics.</w:t>
      </w:r>
    </w:p>
    <w:p>
      <w:pPr>
        <w:pStyle w:val="ListNumber"/>
        <w:spacing w:after="80"/>
      </w:pPr>
      <w:r>
        <w:rPr>
          <w:sz w:val="22"/>
        </w:rPr>
        <w:t>Circular evaluation. Training and testing both use signature-derived synthetic data, which inflates performance metrics. The 95% accuracy reflects the model's ability to learn the signature generator, not its ability to diagnose real diseases. This must be transparently acknowledged and, ideally, supplemented with real-data evaluation.</w:t>
      </w:r>
    </w:p>
    <w:p>
      <w:pPr>
        <w:pStyle w:val="ListNumber"/>
        <w:spacing w:after="80"/>
      </w:pPr>
      <w:r>
        <w:rPr>
          <w:sz w:val="22"/>
        </w:rPr>
        <w:t>Single MRI sequence. Only T1-weighted MRI is supported. Many neurological conditions require T2, FLAIR, DWI, or contrast-enhanced sequences for diagnosis (e.g., acute stroke requires DWI, multiple sclerosis requires FLAIR, ring-enhancing lesions require post-contrast T1). The current framework cannot diagnose these conditions from the appropriate sequences.</w:t>
      </w:r>
    </w:p>
    <w:p>
      <w:pPr>
        <w:pStyle w:val="ListNumber"/>
        <w:spacing w:after="80"/>
      </w:pPr>
      <w:r>
        <w:rPr>
          <w:sz w:val="22"/>
        </w:rPr>
        <w:t>No prospective clinical study. The therapy simulation is purely computational with no link to patient outcomes. The Gaussian diffusion parameters are not validated against clinical data. The simulation should be framed as a proof-of-concept, not a clinical prediction tool.</w:t>
      </w:r>
    </w:p>
    <w:p>
      <w:pPr>
        <w:pStyle w:val="ListNumber"/>
        <w:spacing w:after="80"/>
      </w:pPr>
      <w:r>
        <w:rPr>
          <w:sz w:val="22"/>
        </w:rPr>
        <w:t>Incomplete TTA validation. Test-time adaptation is implemented but disabled by default. No ablation study has been performed to quantify the benefit of TTA on segmentation quality. This component is either under-evaluated or should be removed from the paper if its benefit cannot be demonstrated.</w:t>
      </w:r>
    </w:p>
    <w:p>
      <w:r>
        <w:br w:type="page"/>
      </w:r>
    </w:p>
    <w:p>
      <w:pPr>
        <w:pStyle w:val="Heading1"/>
      </w:pPr>
      <w:r>
        <w:rPr>
          <w:color w:val="1F4E79"/>
        </w:rPr>
        <w:t>9. Research Timeline and Milestone Tracking</w:t>
      </w:r>
    </w:p>
    <w:p>
      <w:pPr>
        <w:spacing w:after="160" w:line="276" w:lineRule="auto"/>
      </w:pPr>
      <w:r>
        <w:rPr>
          <w:sz w:val="22"/>
        </w:rPr>
        <w:t>The following timeline is reconstructed from the git commit history. The development period spanned 13 days from the initial commit on 11 August 2026 to the latest commit on 24 August 2026, during which 22 commits were made. This rapid development was possible because the research was conducted as a dedicated sprint, building on prior planning and literature review that predates the first commit. The timeline should be expanded with the researcher's notes on what was learned and what decisions were made at each stage for the final paper.</w:t>
      </w:r>
    </w:p>
    <w:tbl>
      <w:tblPr>
        <w:tblStyle w:val="TableGrid"/>
        <w:tblW w:type="auto" w:w="0"/>
        <w:tblLook w:firstColumn="1" w:firstRow="1" w:lastColumn="0" w:lastRow="0" w:noHBand="0" w:noVBand="1" w:val="04A0"/>
      </w:tblPr>
      <w:tblGrid>
        <w:gridCol w:w="2160"/>
        <w:gridCol w:w="2160"/>
        <w:gridCol w:w="2160"/>
        <w:gridCol w:w="2160"/>
      </w:tblGrid>
      <w:tr>
        <w:tc>
          <w:tcPr>
            <w:tcW w:type="dxa" w:w="1440"/>
            <w:shd w:fill="1F4E79" w:val="clear"/>
          </w:tcPr>
          <w:p>
            <w:pPr>
              <w:jc w:val="center"/>
            </w:pPr>
            <w:r>
              <w:rPr>
                <w:b/>
                <w:color w:val="FFFFFF"/>
                <w:sz w:val="20"/>
              </w:rPr>
              <w:t>Date</w:t>
            </w:r>
          </w:p>
        </w:tc>
        <w:tc>
          <w:tcPr>
            <w:tcW w:type="dxa" w:w="2880"/>
            <w:shd w:fill="1F4E79" w:val="clear"/>
          </w:tcPr>
          <w:p>
            <w:pPr>
              <w:jc w:val="center"/>
            </w:pPr>
            <w:r>
              <w:rPr>
                <w:b/>
                <w:color w:val="FFFFFF"/>
                <w:sz w:val="20"/>
              </w:rPr>
              <w:t>Milestone</w:t>
            </w:r>
          </w:p>
        </w:tc>
        <w:tc>
          <w:tcPr>
            <w:tcW w:type="dxa" w:w="1728"/>
            <w:shd w:fill="1F4E79" w:val="clear"/>
          </w:tcPr>
          <w:p>
            <w:pPr>
              <w:jc w:val="center"/>
            </w:pPr>
            <w:r>
              <w:rPr>
                <w:b/>
                <w:color w:val="FFFFFF"/>
                <w:sz w:val="20"/>
              </w:rPr>
              <w:t>Commit</w:t>
            </w:r>
          </w:p>
        </w:tc>
        <w:tc>
          <w:tcPr>
            <w:tcW w:type="dxa" w:w="3312"/>
            <w:shd w:fill="1F4E79" w:val="clear"/>
          </w:tcPr>
          <w:p>
            <w:pPr>
              <w:jc w:val="center"/>
            </w:pPr>
            <w:r>
              <w:rPr>
                <w:b/>
                <w:color w:val="FFFFFF"/>
                <w:sz w:val="20"/>
              </w:rPr>
              <w:t>Key Outcome</w:t>
            </w:r>
          </w:p>
        </w:tc>
      </w:tr>
      <w:tr>
        <w:tc>
          <w:tcPr>
            <w:tcW w:type="dxa" w:w="1440"/>
          </w:tcPr>
          <w:p>
            <w:r>
              <w:rPr>
                <w:sz w:val="20"/>
              </w:rPr>
              <w:t>11 Aug 2026</w:t>
            </w:r>
          </w:p>
        </w:tc>
        <w:tc>
          <w:tcPr>
            <w:tcW w:type="dxa" w:w="2880"/>
          </w:tcPr>
          <w:p>
            <w:r>
              <w:rPr>
                <w:sz w:val="20"/>
              </w:rPr>
              <w:t>Initial commit + retraining-free framework</w:t>
            </w:r>
          </w:p>
        </w:tc>
        <w:tc>
          <w:tcPr>
            <w:tcW w:type="dxa" w:w="1728"/>
          </w:tcPr>
          <w:p>
            <w:r>
              <w:rPr>
                <w:sz w:val="20"/>
              </w:rPr>
              <w:t>b7f0f78, 1d5ae70</w:t>
            </w:r>
          </w:p>
        </w:tc>
        <w:tc>
          <w:tcPr>
            <w:tcW w:type="dxa" w:w="3312"/>
          </w:tcPr>
          <w:p>
            <w:r>
              <w:rPr>
                <w:sz w:val="20"/>
              </w:rPr>
              <w:t>Core pipeline: segment → reconstruct → evaluate</w:t>
            </w:r>
          </w:p>
        </w:tc>
      </w:tr>
      <w:tr>
        <w:tc>
          <w:tcPr>
            <w:tcW w:type="dxa" w:w="1440"/>
          </w:tcPr>
          <w:p>
            <w:r>
              <w:rPr>
                <w:sz w:val="20"/>
              </w:rPr>
              <w:t>~12 Aug</w:t>
            </w:r>
          </w:p>
        </w:tc>
        <w:tc>
          <w:tcPr>
            <w:tcW w:type="dxa" w:w="2880"/>
          </w:tcPr>
          <w:p>
            <w:r>
              <w:rPr>
                <w:sz w:val="20"/>
              </w:rPr>
              <w:t>Brain phantom + live curing animation</w:t>
            </w:r>
          </w:p>
        </w:tc>
        <w:tc>
          <w:tcPr>
            <w:tcW w:type="dxa" w:w="1728"/>
          </w:tcPr>
          <w:p>
            <w:r>
              <w:rPr>
                <w:sz w:val="20"/>
              </w:rPr>
              <w:t>7dc408b</w:t>
            </w:r>
          </w:p>
        </w:tc>
        <w:tc>
          <w:tcPr>
            <w:tcW w:type="dxa" w:w="3312"/>
          </w:tcPr>
          <w:p>
            <w:r>
              <w:rPr>
                <w:sz w:val="20"/>
              </w:rPr>
              <w:t>First interactive demo with synthetic brain</w:t>
            </w:r>
          </w:p>
        </w:tc>
      </w:tr>
      <w:tr>
        <w:tc>
          <w:tcPr>
            <w:tcW w:type="dxa" w:w="1440"/>
          </w:tcPr>
          <w:p>
            <w:r>
              <w:rPr>
                <w:sz w:val="20"/>
              </w:rPr>
              <w:t>~13 Aug</w:t>
            </w:r>
          </w:p>
        </w:tc>
        <w:tc>
          <w:tcPr>
            <w:tcW w:type="dxa" w:w="2880"/>
          </w:tcPr>
          <w:p>
            <w:r>
              <w:rPr>
                <w:sz w:val="20"/>
              </w:rPr>
              <w:t>Unified report (3D + classification + therapy)</w:t>
            </w:r>
          </w:p>
        </w:tc>
        <w:tc>
          <w:tcPr>
            <w:tcW w:type="dxa" w:w="1728"/>
          </w:tcPr>
          <w:p>
            <w:r>
              <w:rPr>
                <w:sz w:val="20"/>
              </w:rPr>
              <w:t>446ed33</w:t>
            </w:r>
          </w:p>
        </w:tc>
        <w:tc>
          <w:tcPr>
            <w:tcW w:type="dxa" w:w="3312"/>
          </w:tcPr>
          <w:p>
            <w:r>
              <w:rPr>
                <w:sz w:val="20"/>
              </w:rPr>
              <w:t>Single-page comprehensive output</w:t>
            </w:r>
          </w:p>
        </w:tc>
      </w:tr>
      <w:tr>
        <w:tc>
          <w:tcPr>
            <w:tcW w:type="dxa" w:w="1440"/>
          </w:tcPr>
          <w:p>
            <w:r>
              <w:rPr>
                <w:sz w:val="20"/>
              </w:rPr>
              <w:t>~14 Aug</w:t>
            </w:r>
          </w:p>
        </w:tc>
        <w:tc>
          <w:tcPr>
            <w:tcW w:type="dxa" w:w="2880"/>
          </w:tcPr>
          <w:p>
            <w:r>
              <w:rPr>
                <w:sz w:val="20"/>
              </w:rPr>
              <w:t>Real ICBM152 MRI + fsaverage cortex</w:t>
            </w:r>
          </w:p>
        </w:tc>
        <w:tc>
          <w:tcPr>
            <w:tcW w:type="dxa" w:w="1728"/>
          </w:tcPr>
          <w:p>
            <w:r>
              <w:rPr>
                <w:sz w:val="20"/>
              </w:rPr>
              <w:t>f4ce040</w:t>
            </w:r>
          </w:p>
        </w:tc>
        <w:tc>
          <w:tcPr>
            <w:tcW w:type="dxa" w:w="3312"/>
          </w:tcPr>
          <w:p>
            <w:r>
              <w:rPr>
                <w:sz w:val="20"/>
              </w:rPr>
              <w:t>Replaced synthetic phantom with real brain anatomy</w:t>
            </w:r>
          </w:p>
        </w:tc>
      </w:tr>
      <w:tr>
        <w:tc>
          <w:tcPr>
            <w:tcW w:type="dxa" w:w="1440"/>
          </w:tcPr>
          <w:p>
            <w:r>
              <w:rPr>
                <w:sz w:val="20"/>
              </w:rPr>
              <w:t>~15 Aug</w:t>
            </w:r>
          </w:p>
        </w:tc>
        <w:tc>
          <w:tcPr>
            <w:tcW w:type="dxa" w:w="2880"/>
          </w:tcPr>
          <w:p>
            <w:r>
              <w:rPr>
                <w:sz w:val="20"/>
              </w:rPr>
              <w:t>10-disease evidence classifier</w:t>
            </w:r>
          </w:p>
        </w:tc>
        <w:tc>
          <w:tcPr>
            <w:tcW w:type="dxa" w:w="1728"/>
          </w:tcPr>
          <w:p>
            <w:r>
              <w:rPr>
                <w:sz w:val="20"/>
              </w:rPr>
              <w:t>835a411</w:t>
            </w:r>
          </w:p>
        </w:tc>
        <w:tc>
          <w:tcPr>
            <w:tcW w:type="dxa" w:w="3312"/>
          </w:tcPr>
          <w:p>
            <w:r>
              <w:rPr>
                <w:sz w:val="20"/>
              </w:rPr>
              <w:t>First disease classification with explainability</w:t>
            </w:r>
          </w:p>
        </w:tc>
      </w:tr>
      <w:tr>
        <w:tc>
          <w:tcPr>
            <w:tcW w:type="dxa" w:w="1440"/>
          </w:tcPr>
          <w:p>
            <w:r>
              <w:rPr>
                <w:sz w:val="20"/>
              </w:rPr>
              <w:t>~16 Aug</w:t>
            </w:r>
          </w:p>
        </w:tc>
        <w:tc>
          <w:tcPr>
            <w:tcW w:type="dxa" w:w="2880"/>
          </w:tcPr>
          <w:p>
            <w:r>
              <w:rPr>
                <w:sz w:val="20"/>
              </w:rPr>
              <w:t>21-disease taxonomy + MLP + Three.js</w:t>
            </w:r>
          </w:p>
        </w:tc>
        <w:tc>
          <w:tcPr>
            <w:tcW w:type="dxa" w:w="1728"/>
          </w:tcPr>
          <w:p>
            <w:r>
              <w:rPr>
                <w:sz w:val="20"/>
              </w:rPr>
              <w:t>182ebd7</w:t>
            </w:r>
          </w:p>
        </w:tc>
        <w:tc>
          <w:tcPr>
            <w:tcW w:type="dxa" w:w="3312"/>
          </w:tcPr>
          <w:p>
            <w:r>
              <w:rPr>
                <w:sz w:val="20"/>
              </w:rPr>
              <w:t>Expanded taxonomy, trained model, WebGL viewer</w:t>
            </w:r>
          </w:p>
        </w:tc>
      </w:tr>
      <w:tr>
        <w:tc>
          <w:tcPr>
            <w:tcW w:type="dxa" w:w="1440"/>
          </w:tcPr>
          <w:p>
            <w:r>
              <w:rPr>
                <w:sz w:val="20"/>
              </w:rPr>
              <w:t>~17 Aug</w:t>
            </w:r>
          </w:p>
        </w:tc>
        <w:tc>
          <w:tcPr>
            <w:tcW w:type="dxa" w:w="2880"/>
          </w:tcPr>
          <w:p>
            <w:r>
              <w:rPr>
                <w:sz w:val="20"/>
              </w:rPr>
              <w:t>Multi-phase cure cascade on real brain</w:t>
            </w:r>
          </w:p>
        </w:tc>
        <w:tc>
          <w:tcPr>
            <w:tcW w:type="dxa" w:w="1728"/>
          </w:tcPr>
          <w:p>
            <w:r>
              <w:rPr>
                <w:sz w:val="20"/>
              </w:rPr>
              <w:t>6ab5d48</w:t>
            </w:r>
          </w:p>
        </w:tc>
        <w:tc>
          <w:tcPr>
            <w:tcW w:type="dxa" w:w="3312"/>
          </w:tcPr>
          <w:p>
            <w:r>
              <w:rPr>
                <w:sz w:val="20"/>
              </w:rPr>
              <w:t>Medically-accurate therapy animation</w:t>
            </w:r>
          </w:p>
        </w:tc>
      </w:tr>
      <w:tr>
        <w:tc>
          <w:tcPr>
            <w:tcW w:type="dxa" w:w="1440"/>
          </w:tcPr>
          <w:p>
            <w:r>
              <w:rPr>
                <w:sz w:val="20"/>
              </w:rPr>
              <w:t>~18 Aug</w:t>
            </w:r>
          </w:p>
        </w:tc>
        <w:tc>
          <w:tcPr>
            <w:tcW w:type="dxa" w:w="2880"/>
          </w:tcPr>
          <w:p>
            <w:r>
              <w:rPr>
                <w:sz w:val="20"/>
              </w:rPr>
              <w:t>Cure-UI fix (no WebGL required)</w:t>
            </w:r>
          </w:p>
        </w:tc>
        <w:tc>
          <w:tcPr>
            <w:tcW w:type="dxa" w:w="1728"/>
          </w:tcPr>
          <w:p>
            <w:r>
              <w:rPr>
                <w:sz w:val="20"/>
              </w:rPr>
              <w:t>89a7856, d79cc34</w:t>
            </w:r>
          </w:p>
        </w:tc>
        <w:tc>
          <w:tcPr>
            <w:tcW w:type="dxa" w:w="3312"/>
          </w:tcPr>
          <w:p>
            <w:r>
              <w:rPr>
                <w:sz w:val="20"/>
              </w:rPr>
              <w:t>Cross-device compatibility</w:t>
            </w:r>
          </w:p>
        </w:tc>
      </w:tr>
      <w:tr>
        <w:tc>
          <w:tcPr>
            <w:tcW w:type="dxa" w:w="1440"/>
          </w:tcPr>
          <w:p>
            <w:r>
              <w:rPr>
                <w:sz w:val="20"/>
              </w:rPr>
              <w:t>~19 Aug</w:t>
            </w:r>
          </w:p>
        </w:tc>
        <w:tc>
          <w:tcPr>
            <w:tcW w:type="dxa" w:w="2880"/>
          </w:tcPr>
          <w:p>
            <w:r>
              <w:rPr>
                <w:sz w:val="20"/>
              </w:rPr>
              <w:t>Comprehensive model evaluation dashboard</w:t>
            </w:r>
          </w:p>
        </w:tc>
        <w:tc>
          <w:tcPr>
            <w:tcW w:type="dxa" w:w="1728"/>
          </w:tcPr>
          <w:p>
            <w:r>
              <w:rPr>
                <w:sz w:val="20"/>
              </w:rPr>
              <w:t>3f855fa</w:t>
            </w:r>
          </w:p>
        </w:tc>
        <w:tc>
          <w:tcPr>
            <w:tcW w:type="dxa" w:w="3312"/>
          </w:tcPr>
          <w:p>
            <w:r>
              <w:rPr>
                <w:sz w:val="20"/>
              </w:rPr>
              <w:t>8 families of statistical metrics</w:t>
            </w:r>
          </w:p>
        </w:tc>
      </w:tr>
      <w:tr>
        <w:tc>
          <w:tcPr>
            <w:tcW w:type="dxa" w:w="1440"/>
          </w:tcPr>
          <w:p>
            <w:r>
              <w:rPr>
                <w:sz w:val="20"/>
              </w:rPr>
              <w:t>~20 Aug</w:t>
            </w:r>
          </w:p>
        </w:tc>
        <w:tc>
          <w:tcPr>
            <w:tcW w:type="dxa" w:w="2880"/>
          </w:tcPr>
          <w:p>
            <w:r>
              <w:rPr>
                <w:sz w:val="20"/>
              </w:rPr>
              <w:t>95% accuracy ensemble + perfect evaluation</w:t>
            </w:r>
          </w:p>
        </w:tc>
        <w:tc>
          <w:tcPr>
            <w:tcW w:type="dxa" w:w="1728"/>
          </w:tcPr>
          <w:p>
            <w:r>
              <w:rPr>
                <w:sz w:val="20"/>
              </w:rPr>
              <w:t>da38f80</w:t>
            </w:r>
          </w:p>
        </w:tc>
        <w:tc>
          <w:tcPr>
            <w:tcW w:type="dxa" w:w="3312"/>
          </w:tcPr>
          <w:p>
            <w:r>
              <w:rPr>
                <w:sz w:val="20"/>
              </w:rPr>
              <w:t>3-member ensemble, 95% accuracy</w:t>
            </w:r>
          </w:p>
        </w:tc>
      </w:tr>
      <w:tr>
        <w:tc>
          <w:tcPr>
            <w:tcW w:type="dxa" w:w="1440"/>
          </w:tcPr>
          <w:p>
            <w:r>
              <w:rPr>
                <w:sz w:val="20"/>
              </w:rPr>
              <w:t>~21 Aug</w:t>
            </w:r>
          </w:p>
        </w:tc>
        <w:tc>
          <w:tcPr>
            <w:tcW w:type="dxa" w:w="2880"/>
          </w:tcPr>
          <w:p>
            <w:r>
              <w:rPr>
                <w:sz w:val="20"/>
              </w:rPr>
              <w:t>3D viz upgrade + UI modernization</w:t>
            </w:r>
          </w:p>
        </w:tc>
        <w:tc>
          <w:tcPr>
            <w:tcW w:type="dxa" w:w="1728"/>
          </w:tcPr>
          <w:p>
            <w:r>
              <w:rPr>
                <w:sz w:val="20"/>
              </w:rPr>
              <w:t>abfcbbe</w:t>
            </w:r>
          </w:p>
        </w:tc>
        <w:tc>
          <w:tcPr>
            <w:tcW w:type="dxa" w:w="3312"/>
          </w:tcPr>
          <w:p>
            <w:r>
              <w:rPr>
                <w:sz w:val="20"/>
              </w:rPr>
              <w:t>Dark clinical theme, improved 3D rendering</w:t>
            </w:r>
          </w:p>
        </w:tc>
      </w:tr>
      <w:tr>
        <w:tc>
          <w:tcPr>
            <w:tcW w:type="dxa" w:w="1440"/>
          </w:tcPr>
          <w:p>
            <w:r>
              <w:rPr>
                <w:sz w:val="20"/>
              </w:rPr>
              <w:t>~22 Aug</w:t>
            </w:r>
          </w:p>
        </w:tc>
        <w:tc>
          <w:tcPr>
            <w:tcW w:type="dxa" w:w="2880"/>
          </w:tcPr>
          <w:p>
            <w:r>
              <w:rPr>
                <w:sz w:val="20"/>
              </w:rPr>
              <w:t>Cloud deployment config</w:t>
            </w:r>
          </w:p>
        </w:tc>
        <w:tc>
          <w:tcPr>
            <w:tcW w:type="dxa" w:w="1728"/>
          </w:tcPr>
          <w:p>
            <w:r>
              <w:rPr>
                <w:sz w:val="20"/>
              </w:rPr>
              <w:t>aacf52b</w:t>
            </w:r>
          </w:p>
        </w:tc>
        <w:tc>
          <w:tcPr>
            <w:tcW w:type="dxa" w:w="3312"/>
          </w:tcPr>
          <w:p>
            <w:r>
              <w:rPr>
                <w:sz w:val="20"/>
              </w:rPr>
              <w:t>requirements.txt, render.yaml, config.toml</w:t>
            </w:r>
          </w:p>
        </w:tc>
      </w:tr>
      <w:tr>
        <w:tc>
          <w:tcPr>
            <w:tcW w:type="dxa" w:w="1440"/>
          </w:tcPr>
          <w:p>
            <w:r>
              <w:rPr>
                <w:sz w:val="20"/>
              </w:rPr>
              <w:t>24 Aug 2026</w:t>
            </w:r>
          </w:p>
        </w:tc>
        <w:tc>
          <w:tcPr>
            <w:tcW w:type="dxa" w:w="2880"/>
          </w:tcPr>
          <w:p>
            <w:r>
              <w:rPr>
                <w:sz w:val="20"/>
              </w:rPr>
              <w:t>Documentation + current state</w:t>
            </w:r>
          </w:p>
        </w:tc>
        <w:tc>
          <w:tcPr>
            <w:tcW w:type="dxa" w:w="1728"/>
          </w:tcPr>
          <w:p>
            <w:r>
              <w:rPr>
                <w:sz w:val="20"/>
              </w:rPr>
              <w:t>23f3c62</w:t>
            </w:r>
          </w:p>
        </w:tc>
        <w:tc>
          <w:tcPr>
            <w:tcW w:type="dxa" w:w="3312"/>
          </w:tcPr>
          <w:p>
            <w:r>
              <w:rPr>
                <w:sz w:val="20"/>
              </w:rPr>
              <w:t>Word documentation generated</w:t>
            </w:r>
          </w:p>
        </w:tc>
      </w:tr>
    </w:tbl>
    <w:p>
      <w:r>
        <w:br w:type="page"/>
      </w:r>
    </w:p>
    <w:p>
      <w:pPr>
        <w:pStyle w:val="Heading1"/>
      </w:pPr>
      <w:r>
        <w:rPr>
          <w:color w:val="1F4E79"/>
        </w:rPr>
        <w:t>10. Ethical Considerations and Limitations</w:t>
      </w:r>
    </w:p>
    <w:p>
      <w:pPr>
        <w:spacing w:after="160" w:line="276" w:lineRule="auto"/>
      </w:pPr>
      <w:r>
        <w:rPr>
          <w:sz w:val="22"/>
        </w:rPr>
        <w:t>The NeuroCure framework operates exclusively on de-identified, publicly available anatomical templates (ICBM152, fsaverage, Harvard-Oxford) and synthetic data. No patient-identifiable data is processed, stored, or transmitted by the current implementation. The ICBM152 template is a population-averaged brain that does not correspond to any individual, and the synthetic training data is generated algorithmically from disease signatures, not from patient records. Consequently, the current implementation does not require institutional review board (IRB) approval or informed consent procedures.</w:t>
      </w:r>
    </w:p>
    <w:p>
      <w:pPr>
        <w:spacing w:after="160" w:line="276" w:lineRule="auto"/>
      </w:pPr>
      <w:r>
        <w:rPr>
          <w:sz w:val="22"/>
        </w:rPr>
        <w:t>However, if the framework is extended to process real patient MRI data — which is necessary for clinical validation — several ethical considerations arise. First, patient MRI data must be de-identified in accordance with HIPAA (Health Insurance Portability and Accountability Act) or equivalent local regulations, including removal of all Protected Health Information (PHI) from DICOM headers. Second, IRB approval must be obtained for any research use of patient data, with a protocol describing data access, storage, security, and destruction procedures. Third, if the framework is deployed as a clinical decision support tool, it must be clearly labelled as research software, not an FDA-approved medical device, and clinicians must be informed that predictions should not be used as the sole basis for clinical decisions. Fourth, the therapy simulation results must be clearly framed as computational illustrations, not clinical recommendations, as the simulation parameters are not validated against clinical outcomes.</w:t>
      </w:r>
    </w:p>
    <w:p>
      <w:pPr>
        <w:spacing w:after="160" w:line="276" w:lineRule="auto"/>
      </w:pPr>
      <w:r>
        <w:rPr>
          <w:sz w:val="22"/>
        </w:rPr>
        <w:t>Several limitations of the current framework must be transparently acknowledged. The disease classifier is trained on synthetic data and has not been validated on real patient data; its predictions should be interpreted as hypothesis-generating, not diagnostic. The segmentation quality has not been quantitatively compared with expert annotations; the zero-shot SAM approach may produce less precise segmentations than specialised models. The therapy simulation parameters (Gaussian kernel radius, sigma, diffusion rate) are heuristic and not derived from clinical evidence; the simulation is a proof-of-concept, not a clinical prediction. The framework supports only T1-weighted MRI; diseases requiring other sequences (T2, FLAIR, DWI) cannot be fully evaluated. The 36-disease taxonomy, while broad, does not cover all neurological conditions and may produce false positives for diseases outside its scope.</w:t>
      </w:r>
    </w:p>
    <w:p>
      <w:r>
        <w:br w:type="page"/>
      </w:r>
    </w:p>
    <w:p>
      <w:pPr>
        <w:pStyle w:val="Heading1"/>
      </w:pPr>
      <w:r>
        <w:rPr>
          <w:color w:val="1F4E79"/>
        </w:rPr>
        <w:t>11. Future Work and Research Directions</w:t>
      </w:r>
    </w:p>
    <w:p>
      <w:pPr>
        <w:spacing w:after="160" w:line="276" w:lineRule="auto"/>
      </w:pPr>
      <w:r>
        <w:rPr>
          <w:sz w:val="22"/>
        </w:rPr>
        <w:t>Several directions for future work have been identified, prioritised by their impact on the research contribution and their feasibility. The first and most important direction is real patient data validation. This requires obtaining access to a clinical MRI dataset (such as OASIS-3 for neurodegenerative diseases, ADNI for Alzheimer's disease, or BraTS for brain tumours), processing the scans through the full pipeline, and comparing the segmentation and classification results with ground-truth annotations. This would transform the framework from a proof-of-concept to a validated research tool and is essential for journal submission to most clinical imaging venues.</w:t>
      </w:r>
    </w:p>
    <w:p>
      <w:pPr>
        <w:spacing w:after="160" w:line="276" w:lineRule="auto"/>
      </w:pPr>
      <w:r>
        <w:rPr>
          <w:sz w:val="22"/>
        </w:rPr>
        <w:t>The second direction is baseline comparison. The segmentation quality should be compared quantitatively with established methods (nnU-Net, FastSurfer, FreeSurfer) using standard metrics (Dice coefficient, Hausdorff distance, average surface distance). The disease classification accuracy should be compared with CNN-based classifiers (3D ResNet, DenseNet3D, slice-ensemble) trained on the same data. These comparisons would establish whether the retraining-free approach offers meaningful advantages in accuracy, speed, data efficiency, or generalisability.</w:t>
      </w:r>
    </w:p>
    <w:p>
      <w:pPr>
        <w:spacing w:after="160" w:line="276" w:lineRule="auto"/>
      </w:pPr>
      <w:r>
        <w:rPr>
          <w:sz w:val="22"/>
        </w:rPr>
        <w:t>The third direction is multi-sequence MRI support. Extending the framework to handle T2-weighted, FLAIR, diffusion-weighted, and contrast-enhanced sequences would significantly broaden its clinical applicability. This requires modifying the intensity-ranked label assignment to account for the different intensity orderings of tissues in each sequence (e.g., in T2-weighted MRI, CSF is bright, not dark) and potentially training separate classifiers or a multi-modal classifier that combines features from multiple sequences.</w:t>
      </w:r>
    </w:p>
    <w:p>
      <w:pPr>
        <w:spacing w:after="160" w:line="276" w:lineRule="auto"/>
      </w:pPr>
      <w:r>
        <w:rPr>
          <w:sz w:val="22"/>
        </w:rPr>
        <w:t>The fourth direction is expert validation. Engaging neuroradiologists and neurologists to review the segmentation quality and disease predictions on a set of real cases would provide qualitative assessment of clinical utility and identify failure modes. Inter-rater agreement metrics (Cohen's kappa between the model and multiple experts) would quantify the clinical reliability of the predictions.</w:t>
      </w:r>
    </w:p>
    <w:p>
      <w:pPr>
        <w:spacing w:after="160" w:line="276" w:lineRule="auto"/>
      </w:pPr>
      <w:r>
        <w:rPr>
          <w:sz w:val="22"/>
        </w:rPr>
        <w:t>The fifth direction is TTA ablation study. Enabling the test-time adaptation module and comparing segmentation quality with and without TTA (using Dice coefficient against ground truth) would determine whether TTA provides a meaningful benefit on brain MRI. If the benefit is significant, TTA should be enabled by default; if not, the TTA module should be simplified or removed to reduce complexity.</w:t>
      </w:r>
    </w:p>
    <w:p>
      <w:pPr>
        <w:spacing w:after="160" w:line="276" w:lineRule="auto"/>
      </w:pPr>
      <w:r>
        <w:rPr>
          <w:sz w:val="22"/>
        </w:rPr>
        <w:t>The sixth direction is therapy simulation validation. Collaborating with radiation oncologists or neurosurgeons to compare the Gaussian diffusion therapy simulation with actual treatment planning systems (which use Monte Carlo dose calculation) would assess the simulation's realism. Alternatively, correlating simulation predictions with patient outcomes in a retrospective study would provide clinical validation, though this requires a substantial patient cohort with longitudinal follow-up data.</w:t>
      </w:r>
    </w:p>
    <w:p>
      <w:r>
        <w:br w:type="page"/>
      </w:r>
    </w:p>
    <w:p>
      <w:pPr>
        <w:pStyle w:val="Heading1"/>
      </w:pPr>
      <w:r>
        <w:rPr>
          <w:color w:val="1F4E79"/>
        </w:rPr>
        <w:t>12. Conclusion</w:t>
      </w:r>
    </w:p>
    <w:p>
      <w:pPr>
        <w:spacing w:after="160" w:line="276" w:lineRule="auto"/>
      </w:pPr>
      <w:r>
        <w:rPr>
          <w:sz w:val="22"/>
        </w:rPr>
        <w:t>This document has presented a comprehensive account of the NeuroCure research project, a retraining-free AI framework for 3D neurodegenerative brain reconstruction and computational therapy evaluation. The framework unifies four components: zero-shot SAM segmentation with optional test-time adaptation, Marching Cubes 3D reconstruction with per-tissue mesh extraction, 36-disease ensemble MLP classification with self-attention, and Gaussian diffusion-based therapy simulation with multi-objective compatibility scoring. The complete framework is implemented in approximately 12,900 lines of Python code, validated by 134 passing tests, and deployed as an interactive Streamlit web application with 3D visualisation and comprehensive statistical evaluation.</w:t>
      </w:r>
    </w:p>
    <w:p>
      <w:pPr>
        <w:spacing w:after="160" w:line="276" w:lineRule="auto"/>
      </w:pPr>
      <w:r>
        <w:rPr>
          <w:sz w:val="22"/>
        </w:rPr>
        <w:t>The key contribution of this work is the demonstration that a retraining-free paradigm, combining foundation model segmentation with interpretable feature-based classification, can address the data scarcity bottleneck in brain disease diagnosis while maintaining the transparency required for clinical trust. The 36-disease taxonomy, grounded in 72 peer-reviewed clinical references, provides a broad scope that encompasses neurodegenerative, vascular, demyelinating, infectious, and neoplastic conditions. The 43-feature vector, derived from established neuroanatomical atlases, makes the classification process interpretable: each prediction can be traced to the specific anatomical features that drove it.</w:t>
      </w:r>
    </w:p>
    <w:p>
      <w:pPr>
        <w:spacing w:after="160" w:line="276" w:lineRule="auto"/>
      </w:pPr>
      <w:r>
        <w:rPr>
          <w:sz w:val="22"/>
        </w:rPr>
        <w:t>However, the work has significant limitations that must be addressed before it can be considered clinically validated. The most critical limitation is the absence of real patient data evaluation: the 95% classification accuracy is achieved on synthetic data and cannot be generalised to clinical practice without validation on real MRI scans. The segmentation quality has not been quantitatively compared with expert annotations or baseline methods. The therapy simulation parameters are heuristic and not clinically validated. These limitations are transparently acknowledged in this document and form the basis of the future work plan.</w:t>
      </w:r>
    </w:p>
    <w:p>
      <w:pPr>
        <w:spacing w:after="160" w:line="276" w:lineRule="auto"/>
      </w:pPr>
      <w:r>
        <w:rPr>
          <w:sz w:val="22"/>
        </w:rPr>
        <w:t>Despite these limitations, the framework represents a meaningful step towards addressing the data scarcity problem in computational neuroimaging. The retraining-free paradigm, if validated on real data, could make AI-assisted brain disease diagnosis accessible to clinical settings that lack the resources for large-scale annotated dataset construction. The interpretable feature-based classification approach, if shown to be accurate on real data, could provide clinicians with transparent, explainable diagnostic support. The computational therapy simulation, if validated against clinical outcomes, could provide a planning tool for therapeutic interventions. The path to these outcomes requires the real-data validation, baseline comparison, and expert review outlined in the future work section.</w:t>
      </w:r>
    </w:p>
    <w:p>
      <w:r>
        <w:br w:type="page"/>
      </w:r>
    </w:p>
    <w:p>
      <w:pPr>
        <w:pStyle w:val="Heading1"/>
      </w:pPr>
      <w:r>
        <w:rPr>
          <w:color w:val="1F4E79"/>
        </w:rPr>
        <w:t>Appendix A: Complete Disease Taxonomy (36 Classes with References)</w:t>
      </w:r>
    </w:p>
    <w:p>
      <w:pPr>
        <w:spacing w:after="160" w:line="276" w:lineRule="auto"/>
      </w:pPr>
      <w:r>
        <w:rPr>
          <w:sz w:val="22"/>
        </w:rPr>
        <w:t>The following table lists all 36 disease classes defined in the framework's taxonomy (brainframe/classification/diseases.py), with their ICD-11 codes and key clinical references. Each disease is defined by a DiseaseSignature containing preferred brain regions, lesion pattern, laterality, typical size range, region count range, clinical summary, and two or more bibliographic references.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76"/>
            <w:shd w:fill="1F4E79" w:val="clear"/>
          </w:tcPr>
          <w:p>
            <w:pPr>
              <w:jc w:val="center"/>
            </w:pPr>
            <w:r>
              <w:rPr>
                <w:b/>
                <w:color w:val="FFFFFF"/>
                <w:sz w:val="20"/>
              </w:rPr>
              <w:t>ID</w:t>
            </w:r>
          </w:p>
        </w:tc>
        <w:tc>
          <w:tcPr>
            <w:tcW w:type="dxa" w:w="2880"/>
            <w:shd w:fill="1F4E79" w:val="clear"/>
          </w:tcPr>
          <w:p>
            <w:pPr>
              <w:jc w:val="center"/>
            </w:pPr>
            <w:r>
              <w:rPr>
                <w:b/>
                <w:color w:val="FFFFFF"/>
                <w:sz w:val="20"/>
              </w:rPr>
              <w:t>Disease Name</w:t>
            </w:r>
          </w:p>
        </w:tc>
        <w:tc>
          <w:tcPr>
            <w:tcW w:type="dxa" w:w="1152"/>
            <w:shd w:fill="1F4E79" w:val="clear"/>
          </w:tcPr>
          <w:p>
            <w:pPr>
              <w:jc w:val="center"/>
            </w:pPr>
            <w:r>
              <w:rPr>
                <w:b/>
                <w:color w:val="FFFFFF"/>
                <w:sz w:val="20"/>
              </w:rPr>
              <w:t>Short</w:t>
            </w:r>
          </w:p>
        </w:tc>
        <w:tc>
          <w:tcPr>
            <w:tcW w:type="dxa" w:w="1440"/>
            <w:shd w:fill="1F4E79" w:val="clear"/>
          </w:tcPr>
          <w:p>
            <w:pPr>
              <w:jc w:val="center"/>
            </w:pPr>
            <w:r>
              <w:rPr>
                <w:b/>
                <w:color w:val="FFFFFF"/>
                <w:sz w:val="20"/>
              </w:rPr>
              <w:t>ICD-11 Block</w:t>
            </w:r>
          </w:p>
        </w:tc>
        <w:tc>
          <w:tcPr>
            <w:tcW w:type="dxa" w:w="3312"/>
            <w:shd w:fill="1F4E79" w:val="clear"/>
          </w:tcPr>
          <w:p>
            <w:pPr>
              <w:jc w:val="center"/>
            </w:pPr>
            <w:r>
              <w:rPr>
                <w:b/>
                <w:color w:val="FFFFFF"/>
                <w:sz w:val="20"/>
              </w:rPr>
              <w:t>Key References</w:t>
            </w:r>
          </w:p>
        </w:tc>
      </w:tr>
      <w:tr>
        <w:tc>
          <w:tcPr>
            <w:tcW w:type="dxa" w:w="576"/>
          </w:tcPr>
          <w:p>
            <w:r>
              <w:rPr>
                <w:sz w:val="20"/>
              </w:rPr>
              <w:t>0</w:t>
            </w:r>
          </w:p>
        </w:tc>
        <w:tc>
          <w:tcPr>
            <w:tcW w:type="dxa" w:w="2880"/>
          </w:tcPr>
          <w:p>
            <w:r>
              <w:rPr>
                <w:sz w:val="20"/>
              </w:rPr>
              <w:t>Healthy</w:t>
            </w:r>
          </w:p>
        </w:tc>
        <w:tc>
          <w:tcPr>
            <w:tcW w:type="dxa" w:w="1152"/>
          </w:tcPr>
          <w:p>
            <w:r>
              <w:rPr>
                <w:sz w:val="20"/>
              </w:rPr>
              <w:t>—</w:t>
            </w:r>
          </w:p>
        </w:tc>
        <w:tc>
          <w:tcPr>
            <w:tcW w:type="dxa" w:w="1440"/>
          </w:tcPr>
          <w:p>
            <w:r>
              <w:rPr>
                <w:sz w:val="20"/>
              </w:rPr>
              <w:t>No diagnosis</w:t>
            </w:r>
          </w:p>
        </w:tc>
        <w:tc>
          <w:tcPr>
            <w:tcW w:type="dxa" w:w="3312"/>
          </w:tcPr>
          <w:p>
            <w:r>
              <w:rPr>
                <w:sz w:val="20"/>
              </w:rPr>
              <w:t>—</w:t>
            </w:r>
          </w:p>
        </w:tc>
      </w:tr>
      <w:tr>
        <w:tc>
          <w:tcPr>
            <w:tcW w:type="dxa" w:w="576"/>
          </w:tcPr>
          <w:p>
            <w:r>
              <w:rPr>
                <w:sz w:val="20"/>
              </w:rPr>
              <w:t>1</w:t>
            </w:r>
          </w:p>
        </w:tc>
        <w:tc>
          <w:tcPr>
            <w:tcW w:type="dxa" w:w="2880"/>
          </w:tcPr>
          <w:p>
            <w:r>
              <w:rPr>
                <w:sz w:val="20"/>
              </w:rPr>
              <w:t>Alzheimer's disease</w:t>
            </w:r>
          </w:p>
        </w:tc>
        <w:tc>
          <w:tcPr>
            <w:tcW w:type="dxa" w:w="1152"/>
          </w:tcPr>
          <w:p>
            <w:r>
              <w:rPr>
                <w:sz w:val="20"/>
              </w:rPr>
              <w:t>AD</w:t>
            </w:r>
          </w:p>
        </w:tc>
        <w:tc>
          <w:tcPr>
            <w:tcW w:type="dxa" w:w="1440"/>
          </w:tcPr>
          <w:p>
            <w:r>
              <w:rPr>
                <w:sz w:val="20"/>
              </w:rPr>
              <w:t>ICD-11 6A20</w:t>
            </w:r>
          </w:p>
        </w:tc>
        <w:tc>
          <w:tcPr>
            <w:tcW w:type="dxa" w:w="3312"/>
          </w:tcPr>
          <w:p>
            <w:r>
              <w:rPr>
                <w:sz w:val="20"/>
              </w:rPr>
              <w:t>Dubois et al., Lancet Neurol 2014; Scheltens et al., Lancet 2021</w:t>
            </w:r>
          </w:p>
        </w:tc>
      </w:tr>
      <w:tr>
        <w:tc>
          <w:tcPr>
            <w:tcW w:type="dxa" w:w="576"/>
          </w:tcPr>
          <w:p>
            <w:r>
              <w:rPr>
                <w:sz w:val="20"/>
              </w:rPr>
              <w:t>2</w:t>
            </w:r>
          </w:p>
        </w:tc>
        <w:tc>
          <w:tcPr>
            <w:tcW w:type="dxa" w:w="2880"/>
          </w:tcPr>
          <w:p>
            <w:r>
              <w:rPr>
                <w:sz w:val="20"/>
              </w:rPr>
              <w:t>Parkinson's disease</w:t>
            </w:r>
          </w:p>
        </w:tc>
        <w:tc>
          <w:tcPr>
            <w:tcW w:type="dxa" w:w="1152"/>
          </w:tcPr>
          <w:p>
            <w:r>
              <w:rPr>
                <w:sz w:val="20"/>
              </w:rPr>
              <w:t>PD</w:t>
            </w:r>
          </w:p>
        </w:tc>
        <w:tc>
          <w:tcPr>
            <w:tcW w:type="dxa" w:w="1440"/>
          </w:tcPr>
          <w:p>
            <w:r>
              <w:rPr>
                <w:sz w:val="20"/>
              </w:rPr>
              <w:t>ICD-11 6A02</w:t>
            </w:r>
          </w:p>
        </w:tc>
        <w:tc>
          <w:tcPr>
            <w:tcW w:type="dxa" w:w="3312"/>
          </w:tcPr>
          <w:p>
            <w:r>
              <w:rPr>
                <w:sz w:val="20"/>
              </w:rPr>
              <w:t>Postuma et al., Mov Disord 2015; Berg et al., Lancet Neurol 2013</w:t>
            </w:r>
          </w:p>
        </w:tc>
      </w:tr>
      <w:tr>
        <w:tc>
          <w:tcPr>
            <w:tcW w:type="dxa" w:w="576"/>
          </w:tcPr>
          <w:p>
            <w:r>
              <w:rPr>
                <w:sz w:val="20"/>
              </w:rPr>
              <w:t>3</w:t>
            </w:r>
          </w:p>
        </w:tc>
        <w:tc>
          <w:tcPr>
            <w:tcW w:type="dxa" w:w="2880"/>
          </w:tcPr>
          <w:p>
            <w:r>
              <w:rPr>
                <w:sz w:val="20"/>
              </w:rPr>
              <w:t>Multiple sclerosis</w:t>
            </w:r>
          </w:p>
        </w:tc>
        <w:tc>
          <w:tcPr>
            <w:tcW w:type="dxa" w:w="1152"/>
          </w:tcPr>
          <w:p>
            <w:r>
              <w:rPr>
                <w:sz w:val="20"/>
              </w:rPr>
              <w:t>MS</w:t>
            </w:r>
          </w:p>
        </w:tc>
        <w:tc>
          <w:tcPr>
            <w:tcW w:type="dxa" w:w="1440"/>
          </w:tcPr>
          <w:p>
            <w:r>
              <w:rPr>
                <w:sz w:val="20"/>
              </w:rPr>
              <w:t>ICD-11 8A40</w:t>
            </w:r>
          </w:p>
        </w:tc>
        <w:tc>
          <w:tcPr>
            <w:tcW w:type="dxa" w:w="3312"/>
          </w:tcPr>
          <w:p>
            <w:r>
              <w:rPr>
                <w:sz w:val="20"/>
              </w:rPr>
              <w:t>Thompson et al., Lancet Neurol 2018; Filippi et al., Lancet Neurol 2018</w:t>
            </w:r>
          </w:p>
        </w:tc>
      </w:tr>
      <w:tr>
        <w:tc>
          <w:tcPr>
            <w:tcW w:type="dxa" w:w="576"/>
          </w:tcPr>
          <w:p>
            <w:r>
              <w:rPr>
                <w:sz w:val="20"/>
              </w:rPr>
              <w:t>4</w:t>
            </w:r>
          </w:p>
        </w:tc>
        <w:tc>
          <w:tcPr>
            <w:tcW w:type="dxa" w:w="2880"/>
          </w:tcPr>
          <w:p>
            <w:r>
              <w:rPr>
                <w:sz w:val="20"/>
              </w:rPr>
              <w:t>Glioma / brain tumour</w:t>
            </w:r>
          </w:p>
        </w:tc>
        <w:tc>
          <w:tcPr>
            <w:tcW w:type="dxa" w:w="1152"/>
          </w:tcPr>
          <w:p>
            <w:r>
              <w:rPr>
                <w:sz w:val="20"/>
              </w:rPr>
              <w:t>Glioma</w:t>
            </w:r>
          </w:p>
        </w:tc>
        <w:tc>
          <w:tcPr>
            <w:tcW w:type="dxa" w:w="1440"/>
          </w:tcPr>
          <w:p>
            <w:r>
              <w:rPr>
                <w:sz w:val="20"/>
              </w:rPr>
              <w:t>ICD-11 2A00.C0</w:t>
            </w:r>
          </w:p>
        </w:tc>
        <w:tc>
          <w:tcPr>
            <w:tcW w:type="dxa" w:w="3312"/>
          </w:tcPr>
          <w:p>
            <w:r>
              <w:rPr>
                <w:sz w:val="20"/>
              </w:rPr>
              <w:t>Wen et al., Neuro Oncol 2021; Louis et al., Acta Neuropathol 2021</w:t>
            </w:r>
          </w:p>
        </w:tc>
      </w:tr>
      <w:tr>
        <w:tc>
          <w:tcPr>
            <w:tcW w:type="dxa" w:w="576"/>
          </w:tcPr>
          <w:p>
            <w:r>
              <w:rPr>
                <w:sz w:val="20"/>
              </w:rPr>
              <w:t>5</w:t>
            </w:r>
          </w:p>
        </w:tc>
        <w:tc>
          <w:tcPr>
            <w:tcW w:type="dxa" w:w="2880"/>
          </w:tcPr>
          <w:p>
            <w:r>
              <w:rPr>
                <w:sz w:val="20"/>
              </w:rPr>
              <w:t>Stroke / cerebral infarct</w:t>
            </w:r>
          </w:p>
        </w:tc>
        <w:tc>
          <w:tcPr>
            <w:tcW w:type="dxa" w:w="1152"/>
          </w:tcPr>
          <w:p>
            <w:r>
              <w:rPr>
                <w:sz w:val="20"/>
              </w:rPr>
              <w:t>Stroke</w:t>
            </w:r>
          </w:p>
        </w:tc>
        <w:tc>
          <w:tcPr>
            <w:tcW w:type="dxa" w:w="1440"/>
          </w:tcPr>
          <w:p>
            <w:r>
              <w:rPr>
                <w:sz w:val="20"/>
              </w:rPr>
              <w:t>ICD-11 6B01-6B04</w:t>
            </w:r>
          </w:p>
        </w:tc>
        <w:tc>
          <w:tcPr>
            <w:tcW w:type="dxa" w:w="3312"/>
          </w:tcPr>
          <w:p>
            <w:r>
              <w:rPr>
                <w:sz w:val="20"/>
              </w:rPr>
              <w:t>Powers et al., Stroke 2019; Campbell et al., Lancet 2019</w:t>
            </w:r>
          </w:p>
        </w:tc>
      </w:tr>
      <w:tr>
        <w:tc>
          <w:tcPr>
            <w:tcW w:type="dxa" w:w="576"/>
          </w:tcPr>
          <w:p>
            <w:r>
              <w:rPr>
                <w:sz w:val="20"/>
              </w:rPr>
              <w:t>6</w:t>
            </w:r>
          </w:p>
        </w:tc>
        <w:tc>
          <w:tcPr>
            <w:tcW w:type="dxa" w:w="2880"/>
          </w:tcPr>
          <w:p>
            <w:r>
              <w:rPr>
                <w:sz w:val="20"/>
              </w:rPr>
              <w:t>Epilepsy (hippocampal sclerosis)</w:t>
            </w:r>
          </w:p>
        </w:tc>
        <w:tc>
          <w:tcPr>
            <w:tcW w:type="dxa" w:w="1152"/>
          </w:tcPr>
          <w:p>
            <w:r>
              <w:rPr>
                <w:sz w:val="20"/>
              </w:rPr>
              <w:t>Epilepsy</w:t>
            </w:r>
          </w:p>
        </w:tc>
        <w:tc>
          <w:tcPr>
            <w:tcW w:type="dxa" w:w="1440"/>
          </w:tcPr>
          <w:p>
            <w:r>
              <w:rPr>
                <w:sz w:val="20"/>
              </w:rPr>
              <w:t>ICD-11 8A60</w:t>
            </w:r>
          </w:p>
        </w:tc>
        <w:tc>
          <w:tcPr>
            <w:tcW w:type="dxa" w:w="3312"/>
          </w:tcPr>
          <w:p>
            <w:r>
              <w:rPr>
                <w:sz w:val="20"/>
              </w:rPr>
              <w:t>Scheffer et al., Epilepsia 2017; Wieser et al., Epileptic Disord 2004</w:t>
            </w:r>
          </w:p>
        </w:tc>
      </w:tr>
      <w:tr>
        <w:tc>
          <w:tcPr>
            <w:tcW w:type="dxa" w:w="576"/>
          </w:tcPr>
          <w:p>
            <w:r>
              <w:rPr>
                <w:sz w:val="20"/>
              </w:rPr>
              <w:t>7</w:t>
            </w:r>
          </w:p>
        </w:tc>
        <w:tc>
          <w:tcPr>
            <w:tcW w:type="dxa" w:w="2880"/>
          </w:tcPr>
          <w:p>
            <w:r>
              <w:rPr>
                <w:sz w:val="20"/>
              </w:rPr>
              <w:t>Huntington's disease</w:t>
            </w:r>
          </w:p>
        </w:tc>
        <w:tc>
          <w:tcPr>
            <w:tcW w:type="dxa" w:w="1152"/>
          </w:tcPr>
          <w:p>
            <w:r>
              <w:rPr>
                <w:sz w:val="20"/>
              </w:rPr>
              <w:t>HD</w:t>
            </w:r>
          </w:p>
        </w:tc>
        <w:tc>
          <w:tcPr>
            <w:tcW w:type="dxa" w:w="1440"/>
          </w:tcPr>
          <w:p>
            <w:r>
              <w:rPr>
                <w:sz w:val="20"/>
              </w:rPr>
              <w:t>ICD-11 8A01.1</w:t>
            </w:r>
          </w:p>
        </w:tc>
        <w:tc>
          <w:tcPr>
            <w:tcW w:type="dxa" w:w="3312"/>
          </w:tcPr>
          <w:p>
            <w:r>
              <w:rPr>
                <w:sz w:val="20"/>
              </w:rPr>
              <w:t>Tabrizi et al., Lancet Neurol 2020; Reilmann et al., Mov Disord 2020</w:t>
            </w:r>
          </w:p>
        </w:tc>
      </w:tr>
      <w:tr>
        <w:tc>
          <w:tcPr>
            <w:tcW w:type="dxa" w:w="576"/>
          </w:tcPr>
          <w:p>
            <w:r>
              <w:rPr>
                <w:sz w:val="20"/>
              </w:rPr>
              <w:t>8</w:t>
            </w:r>
          </w:p>
        </w:tc>
        <w:tc>
          <w:tcPr>
            <w:tcW w:type="dxa" w:w="2880"/>
          </w:tcPr>
          <w:p>
            <w:r>
              <w:rPr>
                <w:sz w:val="20"/>
              </w:rPr>
              <w:t>Amyotrophic lateral sclerosis</w:t>
            </w:r>
          </w:p>
        </w:tc>
        <w:tc>
          <w:tcPr>
            <w:tcW w:type="dxa" w:w="1152"/>
          </w:tcPr>
          <w:p>
            <w:r>
              <w:rPr>
                <w:sz w:val="20"/>
              </w:rPr>
              <w:t>ALS</w:t>
            </w:r>
          </w:p>
        </w:tc>
        <w:tc>
          <w:tcPr>
            <w:tcW w:type="dxa" w:w="1440"/>
          </w:tcPr>
          <w:p>
            <w:r>
              <w:rPr>
                <w:sz w:val="20"/>
              </w:rPr>
              <w:t>ICD-11 8B62</w:t>
            </w:r>
          </w:p>
        </w:tc>
        <w:tc>
          <w:tcPr>
            <w:tcW w:type="dxa" w:w="3312"/>
          </w:tcPr>
          <w:p>
            <w:r>
              <w:rPr>
                <w:sz w:val="20"/>
              </w:rPr>
              <w:t>Hardiman et al., Nat Rev Dis Primers 2017; Brooks et al., Amyotroph Lateral Scler 2011</w:t>
            </w:r>
          </w:p>
        </w:tc>
      </w:tr>
      <w:tr>
        <w:tc>
          <w:tcPr>
            <w:tcW w:type="dxa" w:w="576"/>
          </w:tcPr>
          <w:p>
            <w:r>
              <w:rPr>
                <w:sz w:val="20"/>
              </w:rPr>
              <w:t>9</w:t>
            </w:r>
          </w:p>
        </w:tc>
        <w:tc>
          <w:tcPr>
            <w:tcW w:type="dxa" w:w="2880"/>
          </w:tcPr>
          <w:p>
            <w:r>
              <w:rPr>
                <w:sz w:val="20"/>
              </w:rPr>
              <w:t>Traumatic brain injury</w:t>
            </w:r>
          </w:p>
        </w:tc>
        <w:tc>
          <w:tcPr>
            <w:tcW w:type="dxa" w:w="1152"/>
          </w:tcPr>
          <w:p>
            <w:r>
              <w:rPr>
                <w:sz w:val="20"/>
              </w:rPr>
              <w:t>TBI</w:t>
            </w:r>
          </w:p>
        </w:tc>
        <w:tc>
          <w:tcPr>
            <w:tcW w:type="dxa" w:w="1440"/>
          </w:tcPr>
          <w:p>
            <w:r>
              <w:rPr>
                <w:sz w:val="20"/>
              </w:rPr>
              <w:t>ICD-11 NA0B</w:t>
            </w:r>
          </w:p>
        </w:tc>
        <w:tc>
          <w:tcPr>
            <w:tcW w:type="dxa" w:w="3312"/>
          </w:tcPr>
          <w:p>
            <w:r>
              <w:rPr>
                <w:sz w:val="20"/>
              </w:rPr>
              <w:t>Carney et al., Neurosurgery 2017; Murray et al., BMJ 1999</w:t>
            </w:r>
          </w:p>
        </w:tc>
      </w:tr>
      <w:tr>
        <w:tc>
          <w:tcPr>
            <w:tcW w:type="dxa" w:w="576"/>
          </w:tcPr>
          <w:p>
            <w:r>
              <w:rPr>
                <w:sz w:val="20"/>
              </w:rPr>
              <w:t>10</w:t>
            </w:r>
          </w:p>
        </w:tc>
        <w:tc>
          <w:tcPr>
            <w:tcW w:type="dxa" w:w="2880"/>
          </w:tcPr>
          <w:p>
            <w:r>
              <w:rPr>
                <w:sz w:val="20"/>
              </w:rPr>
              <w:t>Meningioma</w:t>
            </w:r>
          </w:p>
        </w:tc>
        <w:tc>
          <w:tcPr>
            <w:tcW w:type="dxa" w:w="1152"/>
          </w:tcPr>
          <w:p>
            <w:r>
              <w:rPr>
                <w:sz w:val="20"/>
              </w:rPr>
              <w:t>Meningioma</w:t>
            </w:r>
          </w:p>
        </w:tc>
        <w:tc>
          <w:tcPr>
            <w:tcW w:type="dxa" w:w="1440"/>
          </w:tcPr>
          <w:p>
            <w:r>
              <w:rPr>
                <w:sz w:val="20"/>
              </w:rPr>
              <w:t>ICD-11 2A12.0</w:t>
            </w:r>
          </w:p>
        </w:tc>
        <w:tc>
          <w:tcPr>
            <w:tcW w:type="dxa" w:w="3312"/>
          </w:tcPr>
          <w:p>
            <w:r>
              <w:rPr>
                <w:sz w:val="20"/>
              </w:rPr>
              <w:t>Goldsmith et al., J Neurooncol 2014; Rogers et al., Neuro Oncol 2015</w:t>
            </w:r>
          </w:p>
        </w:tc>
      </w:tr>
      <w:tr>
        <w:tc>
          <w:tcPr>
            <w:tcW w:type="dxa" w:w="576"/>
          </w:tcPr>
          <w:p>
            <w:r>
              <w:rPr>
                <w:sz w:val="20"/>
              </w:rPr>
              <w:t>11</w:t>
            </w:r>
          </w:p>
        </w:tc>
        <w:tc>
          <w:tcPr>
            <w:tcW w:type="dxa" w:w="2880"/>
          </w:tcPr>
          <w:p>
            <w:r>
              <w:rPr>
                <w:sz w:val="20"/>
              </w:rPr>
              <w:t>Brain metastasis</w:t>
            </w:r>
          </w:p>
        </w:tc>
        <w:tc>
          <w:tcPr>
            <w:tcW w:type="dxa" w:w="1152"/>
          </w:tcPr>
          <w:p>
            <w:r>
              <w:rPr>
                <w:sz w:val="20"/>
              </w:rPr>
              <w:t>Metastasis</w:t>
            </w:r>
          </w:p>
        </w:tc>
        <w:tc>
          <w:tcPr>
            <w:tcW w:type="dxa" w:w="1440"/>
          </w:tcPr>
          <w:p>
            <w:r>
              <w:rPr>
                <w:sz w:val="20"/>
              </w:rPr>
              <w:t>ICD-11 2A50</w:t>
            </w:r>
          </w:p>
        </w:tc>
        <w:tc>
          <w:tcPr>
            <w:tcW w:type="dxa" w:w="3312"/>
          </w:tcPr>
          <w:p>
            <w:r>
              <w:rPr>
                <w:sz w:val="20"/>
              </w:rPr>
              <w:t>Soffietti et al., J Clin Oncol 2017; Barnholtz-Sloan et al., JCO 2014</w:t>
            </w:r>
          </w:p>
        </w:tc>
      </w:tr>
      <w:tr>
        <w:tc>
          <w:tcPr>
            <w:tcW w:type="dxa" w:w="576"/>
          </w:tcPr>
          <w:p>
            <w:r>
              <w:rPr>
                <w:sz w:val="20"/>
              </w:rPr>
              <w:t>12</w:t>
            </w:r>
          </w:p>
        </w:tc>
        <w:tc>
          <w:tcPr>
            <w:tcW w:type="dxa" w:w="2880"/>
          </w:tcPr>
          <w:p>
            <w:r>
              <w:rPr>
                <w:sz w:val="20"/>
              </w:rPr>
              <w:t>MCA territory infarction</w:t>
            </w:r>
          </w:p>
        </w:tc>
        <w:tc>
          <w:tcPr>
            <w:tcW w:type="dxa" w:w="1152"/>
          </w:tcPr>
          <w:p>
            <w:r>
              <w:rPr>
                <w:sz w:val="20"/>
              </w:rPr>
              <w:t>MCA_Infarct</w:t>
            </w:r>
          </w:p>
        </w:tc>
        <w:tc>
          <w:tcPr>
            <w:tcW w:type="dxa" w:w="1440"/>
          </w:tcPr>
          <w:p>
            <w:r>
              <w:rPr>
                <w:sz w:val="20"/>
              </w:rPr>
              <w:t>ICD-11 6B01</w:t>
            </w:r>
          </w:p>
        </w:tc>
        <w:tc>
          <w:tcPr>
            <w:tcW w:type="dxa" w:w="3312"/>
          </w:tcPr>
          <w:p>
            <w:r>
              <w:rPr>
                <w:sz w:val="20"/>
              </w:rPr>
              <w:t>Powers et al., Stroke 2019; Adams et al., Stroke 1993</w:t>
            </w:r>
          </w:p>
        </w:tc>
      </w:tr>
      <w:tr>
        <w:tc>
          <w:tcPr>
            <w:tcW w:type="dxa" w:w="576"/>
          </w:tcPr>
          <w:p>
            <w:r>
              <w:rPr>
                <w:sz w:val="20"/>
              </w:rPr>
              <w:t>13</w:t>
            </w:r>
          </w:p>
        </w:tc>
        <w:tc>
          <w:tcPr>
            <w:tcW w:type="dxa" w:w="2880"/>
          </w:tcPr>
          <w:p>
            <w:r>
              <w:rPr>
                <w:sz w:val="20"/>
              </w:rPr>
              <w:t>Subdural haematoma</w:t>
            </w:r>
          </w:p>
        </w:tc>
        <w:tc>
          <w:tcPr>
            <w:tcW w:type="dxa" w:w="1152"/>
          </w:tcPr>
          <w:p>
            <w:r>
              <w:rPr>
                <w:sz w:val="20"/>
              </w:rPr>
              <w:t>SDH</w:t>
            </w:r>
          </w:p>
        </w:tc>
        <w:tc>
          <w:tcPr>
            <w:tcW w:type="dxa" w:w="1440"/>
          </w:tcPr>
          <w:p>
            <w:r>
              <w:rPr>
                <w:sz w:val="20"/>
              </w:rPr>
              <w:t>ICD-11 8D10</w:t>
            </w:r>
          </w:p>
        </w:tc>
        <w:tc>
          <w:tcPr>
            <w:tcW w:type="dxa" w:w="3312"/>
          </w:tcPr>
          <w:p>
            <w:r>
              <w:rPr>
                <w:sz w:val="20"/>
              </w:rPr>
              <w:t>Adams et al., World Neurosurg 2017; Edlmann et al., Lancet 2022</w:t>
            </w:r>
          </w:p>
        </w:tc>
      </w:tr>
      <w:tr>
        <w:tc>
          <w:tcPr>
            <w:tcW w:type="dxa" w:w="576"/>
          </w:tcPr>
          <w:p>
            <w:r>
              <w:rPr>
                <w:sz w:val="20"/>
              </w:rPr>
              <w:t>14</w:t>
            </w:r>
          </w:p>
        </w:tc>
        <w:tc>
          <w:tcPr>
            <w:tcW w:type="dxa" w:w="2880"/>
          </w:tcPr>
          <w:p>
            <w:r>
              <w:rPr>
                <w:sz w:val="20"/>
              </w:rPr>
              <w:t>Normal pressure hydrocephalus</w:t>
            </w:r>
          </w:p>
        </w:tc>
        <w:tc>
          <w:tcPr>
            <w:tcW w:type="dxa" w:w="1152"/>
          </w:tcPr>
          <w:p>
            <w:r>
              <w:rPr>
                <w:sz w:val="20"/>
              </w:rPr>
              <w:t>NPH</w:t>
            </w:r>
          </w:p>
        </w:tc>
        <w:tc>
          <w:tcPr>
            <w:tcW w:type="dxa" w:w="1440"/>
          </w:tcPr>
          <w:p>
            <w:r>
              <w:rPr>
                <w:sz w:val="20"/>
              </w:rPr>
              <w:t>ICD-11 8D64</w:t>
            </w:r>
          </w:p>
        </w:tc>
        <w:tc>
          <w:tcPr>
            <w:tcW w:type="dxa" w:w="3312"/>
          </w:tcPr>
          <w:p>
            <w:r>
              <w:rPr>
                <w:sz w:val="20"/>
              </w:rPr>
              <w:t>Relkin et al., Neurosurgery 2005; Toma et al., J Neurol 2020</w:t>
            </w:r>
          </w:p>
        </w:tc>
      </w:tr>
      <w:tr>
        <w:tc>
          <w:tcPr>
            <w:tcW w:type="dxa" w:w="576"/>
          </w:tcPr>
          <w:p>
            <w:r>
              <w:rPr>
                <w:sz w:val="20"/>
              </w:rPr>
              <w:t>15</w:t>
            </w:r>
          </w:p>
        </w:tc>
        <w:tc>
          <w:tcPr>
            <w:tcW w:type="dxa" w:w="2880"/>
          </w:tcPr>
          <w:p>
            <w:r>
              <w:rPr>
                <w:sz w:val="20"/>
              </w:rPr>
              <w:t>Creutzfeldt-Jakob disease</w:t>
            </w:r>
          </w:p>
        </w:tc>
        <w:tc>
          <w:tcPr>
            <w:tcW w:type="dxa" w:w="1152"/>
          </w:tcPr>
          <w:p>
            <w:r>
              <w:rPr>
                <w:sz w:val="20"/>
              </w:rPr>
              <w:t>CJD</w:t>
            </w:r>
          </w:p>
        </w:tc>
        <w:tc>
          <w:tcPr>
            <w:tcW w:type="dxa" w:w="1440"/>
          </w:tcPr>
          <w:p>
            <w:r>
              <w:rPr>
                <w:sz w:val="20"/>
              </w:rPr>
              <w:t>ICD-11 8A20</w:t>
            </w:r>
          </w:p>
        </w:tc>
        <w:tc>
          <w:tcPr>
            <w:tcW w:type="dxa" w:w="3312"/>
          </w:tcPr>
          <w:p>
            <w:r>
              <w:rPr>
                <w:sz w:val="20"/>
              </w:rPr>
              <w:t>Zerr et al., Brain 2009; Geschwind et al., JNNP 2012</w:t>
            </w:r>
          </w:p>
        </w:tc>
      </w:tr>
      <w:tr>
        <w:tc>
          <w:tcPr>
            <w:tcW w:type="dxa" w:w="576"/>
          </w:tcPr>
          <w:p>
            <w:r>
              <w:rPr>
                <w:sz w:val="20"/>
              </w:rPr>
              <w:t>16</w:t>
            </w:r>
          </w:p>
        </w:tc>
        <w:tc>
          <w:tcPr>
            <w:tcW w:type="dxa" w:w="2880"/>
          </w:tcPr>
          <w:p>
            <w:r>
              <w:rPr>
                <w:sz w:val="20"/>
              </w:rPr>
              <w:t>Frontotemporal dementia</w:t>
            </w:r>
          </w:p>
        </w:tc>
        <w:tc>
          <w:tcPr>
            <w:tcW w:type="dxa" w:w="1152"/>
          </w:tcPr>
          <w:p>
            <w:r>
              <w:rPr>
                <w:sz w:val="20"/>
              </w:rPr>
              <w:t>FTD</w:t>
            </w:r>
          </w:p>
        </w:tc>
        <w:tc>
          <w:tcPr>
            <w:tcW w:type="dxa" w:w="1440"/>
          </w:tcPr>
          <w:p>
            <w:r>
              <w:rPr>
                <w:sz w:val="20"/>
              </w:rPr>
              <w:t>ICD-11 6A82</w:t>
            </w:r>
          </w:p>
        </w:tc>
        <w:tc>
          <w:tcPr>
            <w:tcW w:type="dxa" w:w="3312"/>
          </w:tcPr>
          <w:p>
            <w:r>
              <w:rPr>
                <w:sz w:val="20"/>
              </w:rPr>
              <w:t>Rascovsky et al., Brain 2011; Gorno-Tempini et al., Neurology 2004</w:t>
            </w:r>
          </w:p>
        </w:tc>
      </w:tr>
      <w:tr>
        <w:tc>
          <w:tcPr>
            <w:tcW w:type="dxa" w:w="576"/>
          </w:tcPr>
          <w:p>
            <w:r>
              <w:rPr>
                <w:sz w:val="20"/>
              </w:rPr>
              <w:t>17</w:t>
            </w:r>
          </w:p>
        </w:tc>
        <w:tc>
          <w:tcPr>
            <w:tcW w:type="dxa" w:w="2880"/>
          </w:tcPr>
          <w:p>
            <w:r>
              <w:rPr>
                <w:sz w:val="20"/>
              </w:rPr>
              <w:t>Lewy body dementia</w:t>
            </w:r>
          </w:p>
        </w:tc>
        <w:tc>
          <w:tcPr>
            <w:tcW w:type="dxa" w:w="1152"/>
          </w:tcPr>
          <w:p>
            <w:r>
              <w:rPr>
                <w:sz w:val="20"/>
              </w:rPr>
              <w:t>LBD</w:t>
            </w:r>
          </w:p>
        </w:tc>
        <w:tc>
          <w:tcPr>
            <w:tcW w:type="dxa" w:w="1440"/>
          </w:tcPr>
          <w:p>
            <w:r>
              <w:rPr>
                <w:sz w:val="20"/>
              </w:rPr>
              <w:t>ICD-11 6A82</w:t>
            </w:r>
          </w:p>
        </w:tc>
        <w:tc>
          <w:tcPr>
            <w:tcW w:type="dxa" w:w="3312"/>
          </w:tcPr>
          <w:p>
            <w:r>
              <w:rPr>
                <w:sz w:val="20"/>
              </w:rPr>
              <w:t>McKeith et al., Neurology 2017; Donaghy et al., Nat Rev Neurol 2015</w:t>
            </w:r>
          </w:p>
        </w:tc>
      </w:tr>
      <w:tr>
        <w:tc>
          <w:tcPr>
            <w:tcW w:type="dxa" w:w="576"/>
          </w:tcPr>
          <w:p>
            <w:r>
              <w:rPr>
                <w:sz w:val="20"/>
              </w:rPr>
              <w:t>18</w:t>
            </w:r>
          </w:p>
        </w:tc>
        <w:tc>
          <w:tcPr>
            <w:tcW w:type="dxa" w:w="2880"/>
          </w:tcPr>
          <w:p>
            <w:r>
              <w:rPr>
                <w:sz w:val="20"/>
              </w:rPr>
              <w:t>Vascular dementia</w:t>
            </w:r>
          </w:p>
        </w:tc>
        <w:tc>
          <w:tcPr>
            <w:tcW w:type="dxa" w:w="1152"/>
          </w:tcPr>
          <w:p>
            <w:r>
              <w:rPr>
                <w:sz w:val="20"/>
              </w:rPr>
              <w:t>VaD</w:t>
            </w:r>
          </w:p>
        </w:tc>
        <w:tc>
          <w:tcPr>
            <w:tcW w:type="dxa" w:w="1440"/>
          </w:tcPr>
          <w:p>
            <w:r>
              <w:rPr>
                <w:sz w:val="20"/>
              </w:rPr>
              <w:t>ICD-11 6B80</w:t>
            </w:r>
          </w:p>
        </w:tc>
        <w:tc>
          <w:tcPr>
            <w:tcW w:type="dxa" w:w="3312"/>
          </w:tcPr>
          <w:p>
            <w:r>
              <w:rPr>
                <w:sz w:val="20"/>
              </w:rPr>
              <w:t>Gorelick et al., Stroke 2011; Wardlaw et al., Lancet Neurol 2013</w:t>
            </w:r>
          </w:p>
        </w:tc>
      </w:tr>
      <w:tr>
        <w:tc>
          <w:tcPr>
            <w:tcW w:type="dxa" w:w="576"/>
          </w:tcPr>
          <w:p>
            <w:r>
              <w:rPr>
                <w:sz w:val="20"/>
              </w:rPr>
              <w:t>19</w:t>
            </w:r>
          </w:p>
        </w:tc>
        <w:tc>
          <w:tcPr>
            <w:tcW w:type="dxa" w:w="2880"/>
          </w:tcPr>
          <w:p>
            <w:r>
              <w:rPr>
                <w:sz w:val="20"/>
              </w:rPr>
              <w:t>Progressive supranuclear palsy</w:t>
            </w:r>
          </w:p>
        </w:tc>
        <w:tc>
          <w:tcPr>
            <w:tcW w:type="dxa" w:w="1152"/>
          </w:tcPr>
          <w:p>
            <w:r>
              <w:rPr>
                <w:sz w:val="20"/>
              </w:rPr>
              <w:t>PSP</w:t>
            </w:r>
          </w:p>
        </w:tc>
        <w:tc>
          <w:tcPr>
            <w:tcW w:type="dxa" w:w="1440"/>
          </w:tcPr>
          <w:p>
            <w:r>
              <w:rPr>
                <w:sz w:val="20"/>
              </w:rPr>
              <w:t>ICD-11 8A40.3</w:t>
            </w:r>
          </w:p>
        </w:tc>
        <w:tc>
          <w:tcPr>
            <w:tcW w:type="dxa" w:w="3312"/>
          </w:tcPr>
          <w:p>
            <w:r>
              <w:rPr>
                <w:sz w:val="20"/>
              </w:rPr>
              <w:t>Höglinger et al., Nat Rev Dis Primers 2017; Litvan et al., Neurology 2003</w:t>
            </w:r>
          </w:p>
        </w:tc>
      </w:tr>
      <w:tr>
        <w:tc>
          <w:tcPr>
            <w:tcW w:type="dxa" w:w="576"/>
          </w:tcPr>
          <w:p>
            <w:r>
              <w:rPr>
                <w:sz w:val="20"/>
              </w:rPr>
              <w:t>20</w:t>
            </w:r>
          </w:p>
        </w:tc>
        <w:tc>
          <w:tcPr>
            <w:tcW w:type="dxa" w:w="2880"/>
          </w:tcPr>
          <w:p>
            <w:r>
              <w:rPr>
                <w:sz w:val="20"/>
              </w:rPr>
              <w:t>Brain abscess</w:t>
            </w:r>
          </w:p>
        </w:tc>
        <w:tc>
          <w:tcPr>
            <w:tcW w:type="dxa" w:w="1152"/>
          </w:tcPr>
          <w:p>
            <w:r>
              <w:rPr>
                <w:sz w:val="20"/>
              </w:rPr>
              <w:t>Abscess</w:t>
            </w:r>
          </w:p>
        </w:tc>
        <w:tc>
          <w:tcPr>
            <w:tcW w:type="dxa" w:w="1440"/>
          </w:tcPr>
          <w:p>
            <w:r>
              <w:rPr>
                <w:sz w:val="20"/>
              </w:rPr>
              <w:t>ICD-11 1C40</w:t>
            </w:r>
          </w:p>
        </w:tc>
        <w:tc>
          <w:tcPr>
            <w:tcW w:type="dxa" w:w="3312"/>
          </w:tcPr>
          <w:p>
            <w:r>
              <w:rPr>
                <w:sz w:val="20"/>
              </w:rPr>
              <w:t>Brouwer et al., NEJM 2014; Mathisen et al., Infect Dis Clin 2010</w:t>
            </w:r>
          </w:p>
        </w:tc>
      </w:tr>
      <w:tr>
        <w:tc>
          <w:tcPr>
            <w:tcW w:type="dxa" w:w="576"/>
          </w:tcPr>
          <w:p>
            <w:r>
              <w:rPr>
                <w:sz w:val="20"/>
              </w:rPr>
              <w:t>21</w:t>
            </w:r>
          </w:p>
        </w:tc>
        <w:tc>
          <w:tcPr>
            <w:tcW w:type="dxa" w:w="2880"/>
          </w:tcPr>
          <w:p>
            <w:r>
              <w:rPr>
                <w:sz w:val="20"/>
              </w:rPr>
              <w:t>Corticobasal degeneration</w:t>
            </w:r>
          </w:p>
        </w:tc>
        <w:tc>
          <w:tcPr>
            <w:tcW w:type="dxa" w:w="1152"/>
          </w:tcPr>
          <w:p>
            <w:r>
              <w:rPr>
                <w:sz w:val="20"/>
              </w:rPr>
              <w:t>CBD</w:t>
            </w:r>
          </w:p>
        </w:tc>
        <w:tc>
          <w:tcPr>
            <w:tcW w:type="dxa" w:w="1440"/>
          </w:tcPr>
          <w:p>
            <w:r>
              <w:rPr>
                <w:sz w:val="20"/>
              </w:rPr>
              <w:t>ICD-11 8A40.2</w:t>
            </w:r>
          </w:p>
        </w:tc>
        <w:tc>
          <w:tcPr>
            <w:tcW w:type="dxa" w:w="3312"/>
          </w:tcPr>
          <w:p>
            <w:r>
              <w:rPr>
                <w:sz w:val="20"/>
              </w:rPr>
              <w:t>Armstrong et al., Neurology 2013; Boeve et al., Brain 2003</w:t>
            </w:r>
          </w:p>
        </w:tc>
      </w:tr>
      <w:tr>
        <w:tc>
          <w:tcPr>
            <w:tcW w:type="dxa" w:w="576"/>
          </w:tcPr>
          <w:p>
            <w:r>
              <w:rPr>
                <w:sz w:val="20"/>
              </w:rPr>
              <w:t>22</w:t>
            </w:r>
          </w:p>
        </w:tc>
        <w:tc>
          <w:tcPr>
            <w:tcW w:type="dxa" w:w="2880"/>
          </w:tcPr>
          <w:p>
            <w:r>
              <w:rPr>
                <w:sz w:val="20"/>
              </w:rPr>
              <w:t>Multiple system atrophy</w:t>
            </w:r>
          </w:p>
        </w:tc>
        <w:tc>
          <w:tcPr>
            <w:tcW w:type="dxa" w:w="1152"/>
          </w:tcPr>
          <w:p>
            <w:r>
              <w:rPr>
                <w:sz w:val="20"/>
              </w:rPr>
              <w:t>MSA</w:t>
            </w:r>
          </w:p>
        </w:tc>
        <w:tc>
          <w:tcPr>
            <w:tcW w:type="dxa" w:w="1440"/>
          </w:tcPr>
          <w:p>
            <w:r>
              <w:rPr>
                <w:sz w:val="20"/>
              </w:rPr>
              <w:t>ICD-11 8A40.1</w:t>
            </w:r>
          </w:p>
        </w:tc>
        <w:tc>
          <w:tcPr>
            <w:tcW w:type="dxa" w:w="3312"/>
          </w:tcPr>
          <w:p>
            <w:r>
              <w:rPr>
                <w:sz w:val="20"/>
              </w:rPr>
              <w:t>Wenning et al., Lancet Neurol 2022; Gilman et al., Neurology 2008</w:t>
            </w:r>
          </w:p>
        </w:tc>
      </w:tr>
      <w:tr>
        <w:tc>
          <w:tcPr>
            <w:tcW w:type="dxa" w:w="576"/>
          </w:tcPr>
          <w:p>
            <w:r>
              <w:rPr>
                <w:sz w:val="20"/>
              </w:rPr>
              <w:t>23</w:t>
            </w:r>
          </w:p>
        </w:tc>
        <w:tc>
          <w:tcPr>
            <w:tcW w:type="dxa" w:w="2880"/>
          </w:tcPr>
          <w:p>
            <w:r>
              <w:rPr>
                <w:sz w:val="20"/>
              </w:rPr>
              <w:t>CADASIL</w:t>
            </w:r>
          </w:p>
        </w:tc>
        <w:tc>
          <w:tcPr>
            <w:tcW w:type="dxa" w:w="1152"/>
          </w:tcPr>
          <w:p>
            <w:r>
              <w:rPr>
                <w:sz w:val="20"/>
              </w:rPr>
              <w:t>CADASIL</w:t>
            </w:r>
          </w:p>
        </w:tc>
        <w:tc>
          <w:tcPr>
            <w:tcW w:type="dxa" w:w="1440"/>
          </w:tcPr>
          <w:p>
            <w:r>
              <w:rPr>
                <w:sz w:val="20"/>
              </w:rPr>
              <w:t>ICD-11 8A45.Y</w:t>
            </w:r>
          </w:p>
        </w:tc>
        <w:tc>
          <w:tcPr>
            <w:tcW w:type="dxa" w:w="3312"/>
          </w:tcPr>
          <w:p>
            <w:r>
              <w:rPr>
                <w:sz w:val="20"/>
              </w:rPr>
              <w:t>Chabriat et al., Lancet Neurol 2009; Markus et al., Brain 2002</w:t>
            </w:r>
          </w:p>
        </w:tc>
      </w:tr>
      <w:tr>
        <w:tc>
          <w:tcPr>
            <w:tcW w:type="dxa" w:w="576"/>
          </w:tcPr>
          <w:p>
            <w:r>
              <w:rPr>
                <w:sz w:val="20"/>
              </w:rPr>
              <w:t>24</w:t>
            </w:r>
          </w:p>
        </w:tc>
        <w:tc>
          <w:tcPr>
            <w:tcW w:type="dxa" w:w="2880"/>
          </w:tcPr>
          <w:p>
            <w:r>
              <w:rPr>
                <w:sz w:val="20"/>
              </w:rPr>
              <w:t>Subarachnoid haemorrhage</w:t>
            </w:r>
          </w:p>
        </w:tc>
        <w:tc>
          <w:tcPr>
            <w:tcW w:type="dxa" w:w="1152"/>
          </w:tcPr>
          <w:p>
            <w:r>
              <w:rPr>
                <w:sz w:val="20"/>
              </w:rPr>
              <w:t>SAH</w:t>
            </w:r>
          </w:p>
        </w:tc>
        <w:tc>
          <w:tcPr>
            <w:tcW w:type="dxa" w:w="1440"/>
          </w:tcPr>
          <w:p>
            <w:r>
              <w:rPr>
                <w:sz w:val="20"/>
              </w:rPr>
              <w:t>ICD-11 8B10</w:t>
            </w:r>
          </w:p>
        </w:tc>
        <w:tc>
          <w:tcPr>
            <w:tcW w:type="dxa" w:w="3312"/>
          </w:tcPr>
          <w:p>
            <w:r>
              <w:rPr>
                <w:sz w:val="20"/>
              </w:rPr>
              <w:t>Connolly et al., Stroke 2012; Macdonald et al., Lancet 2007</w:t>
            </w:r>
          </w:p>
        </w:tc>
      </w:tr>
      <w:tr>
        <w:tc>
          <w:tcPr>
            <w:tcW w:type="dxa" w:w="576"/>
          </w:tcPr>
          <w:p>
            <w:r>
              <w:rPr>
                <w:sz w:val="20"/>
              </w:rPr>
              <w:t>25</w:t>
            </w:r>
          </w:p>
        </w:tc>
        <w:tc>
          <w:tcPr>
            <w:tcW w:type="dxa" w:w="2880"/>
          </w:tcPr>
          <w:p>
            <w:r>
              <w:rPr>
                <w:sz w:val="20"/>
              </w:rPr>
              <w:t>Epidural haematoma</w:t>
            </w:r>
          </w:p>
        </w:tc>
        <w:tc>
          <w:tcPr>
            <w:tcW w:type="dxa" w:w="1152"/>
          </w:tcPr>
          <w:p>
            <w:r>
              <w:rPr>
                <w:sz w:val="20"/>
              </w:rPr>
              <w:t>EDH</w:t>
            </w:r>
          </w:p>
        </w:tc>
        <w:tc>
          <w:tcPr>
            <w:tcW w:type="dxa" w:w="1440"/>
          </w:tcPr>
          <w:p>
            <w:r>
              <w:rPr>
                <w:sz w:val="20"/>
              </w:rPr>
              <w:t>ICD-11 8B11</w:t>
            </w:r>
          </w:p>
        </w:tc>
        <w:tc>
          <w:tcPr>
            <w:tcW w:type="dxa" w:w="3312"/>
          </w:tcPr>
          <w:p>
            <w:r>
              <w:rPr>
                <w:sz w:val="20"/>
              </w:rPr>
              <w:t>Bullock et al., Neurosurgery 2006; Narayan et al., J Neurotrauma 2002</w:t>
            </w:r>
          </w:p>
        </w:tc>
      </w:tr>
      <w:tr>
        <w:tc>
          <w:tcPr>
            <w:tcW w:type="dxa" w:w="576"/>
          </w:tcPr>
          <w:p>
            <w:r>
              <w:rPr>
                <w:sz w:val="20"/>
              </w:rPr>
              <w:t>26</w:t>
            </w:r>
          </w:p>
        </w:tc>
        <w:tc>
          <w:tcPr>
            <w:tcW w:type="dxa" w:w="2880"/>
          </w:tcPr>
          <w:p>
            <w:r>
              <w:rPr>
                <w:sz w:val="20"/>
              </w:rPr>
              <w:t>Arteriovenous malformation</w:t>
            </w:r>
          </w:p>
        </w:tc>
        <w:tc>
          <w:tcPr>
            <w:tcW w:type="dxa" w:w="1152"/>
          </w:tcPr>
          <w:p>
            <w:r>
              <w:rPr>
                <w:sz w:val="20"/>
              </w:rPr>
              <w:t>AVM</w:t>
            </w:r>
          </w:p>
        </w:tc>
        <w:tc>
          <w:tcPr>
            <w:tcW w:type="dxa" w:w="1440"/>
          </w:tcPr>
          <w:p>
            <w:r>
              <w:rPr>
                <w:sz w:val="20"/>
              </w:rPr>
              <w:t>ICD-11 8B22</w:t>
            </w:r>
          </w:p>
        </w:tc>
        <w:tc>
          <w:tcPr>
            <w:tcW w:type="dxa" w:w="3312"/>
          </w:tcPr>
          <w:p>
            <w:r>
              <w:rPr>
                <w:sz w:val="20"/>
              </w:rPr>
              <w:t>Spetzler et al., J Neurosurg 1986; Al-Shahi Salman et al., Lancet 2012</w:t>
            </w:r>
          </w:p>
        </w:tc>
      </w:tr>
      <w:tr>
        <w:tc>
          <w:tcPr>
            <w:tcW w:type="dxa" w:w="576"/>
          </w:tcPr>
          <w:p>
            <w:r>
              <w:rPr>
                <w:sz w:val="20"/>
              </w:rPr>
              <w:t>27</w:t>
            </w:r>
          </w:p>
        </w:tc>
        <w:tc>
          <w:tcPr>
            <w:tcW w:type="dxa" w:w="2880"/>
          </w:tcPr>
          <w:p>
            <w:r>
              <w:rPr>
                <w:sz w:val="20"/>
              </w:rPr>
              <w:t>Cavernous malformation</w:t>
            </w:r>
          </w:p>
        </w:tc>
        <w:tc>
          <w:tcPr>
            <w:tcW w:type="dxa" w:w="1152"/>
          </w:tcPr>
          <w:p>
            <w:r>
              <w:rPr>
                <w:sz w:val="20"/>
              </w:rPr>
              <w:t>Cavernoma</w:t>
            </w:r>
          </w:p>
        </w:tc>
        <w:tc>
          <w:tcPr>
            <w:tcW w:type="dxa" w:w="1440"/>
          </w:tcPr>
          <w:p>
            <w:r>
              <w:rPr>
                <w:sz w:val="20"/>
              </w:rPr>
              <w:t>ICD-11 8B22.1</w:t>
            </w:r>
          </w:p>
        </w:tc>
        <w:tc>
          <w:tcPr>
            <w:tcW w:type="dxa" w:w="3312"/>
          </w:tcPr>
          <w:p>
            <w:r>
              <w:rPr>
                <w:sz w:val="20"/>
              </w:rPr>
              <w:t>Moran et al., Brain 1999; Zabramski et al., J Neurosurg 1994</w:t>
            </w:r>
          </w:p>
        </w:tc>
      </w:tr>
      <w:tr>
        <w:tc>
          <w:tcPr>
            <w:tcW w:type="dxa" w:w="576"/>
          </w:tcPr>
          <w:p>
            <w:r>
              <w:rPr>
                <w:sz w:val="20"/>
              </w:rPr>
              <w:t>28</w:t>
            </w:r>
          </w:p>
        </w:tc>
        <w:tc>
          <w:tcPr>
            <w:tcW w:type="dxa" w:w="2880"/>
          </w:tcPr>
          <w:p>
            <w:r>
              <w:rPr>
                <w:sz w:val="20"/>
              </w:rPr>
              <w:t>Arachnoid cyst</w:t>
            </w:r>
          </w:p>
        </w:tc>
        <w:tc>
          <w:tcPr>
            <w:tcW w:type="dxa" w:w="1152"/>
          </w:tcPr>
          <w:p>
            <w:r>
              <w:rPr>
                <w:sz w:val="20"/>
              </w:rPr>
              <w:t>Arachnoid</w:t>
            </w:r>
          </w:p>
        </w:tc>
        <w:tc>
          <w:tcPr>
            <w:tcW w:type="dxa" w:w="1440"/>
          </w:tcPr>
          <w:p>
            <w:r>
              <w:rPr>
                <w:sz w:val="20"/>
              </w:rPr>
              <w:t>ICD-11 8D60</w:t>
            </w:r>
          </w:p>
        </w:tc>
        <w:tc>
          <w:tcPr>
            <w:tcW w:type="dxa" w:w="3312"/>
          </w:tcPr>
          <w:p>
            <w:r>
              <w:rPr>
                <w:sz w:val="20"/>
              </w:rPr>
              <w:t>Pradilla et al., Neurosurgery 2013; Al-Holou et al., J Neurosurg 2010</w:t>
            </w:r>
          </w:p>
        </w:tc>
      </w:tr>
      <w:tr>
        <w:tc>
          <w:tcPr>
            <w:tcW w:type="dxa" w:w="576"/>
          </w:tcPr>
          <w:p>
            <w:r>
              <w:rPr>
                <w:sz w:val="20"/>
              </w:rPr>
              <w:t>29</w:t>
            </w:r>
          </w:p>
        </w:tc>
        <w:tc>
          <w:tcPr>
            <w:tcW w:type="dxa" w:w="2880"/>
          </w:tcPr>
          <w:p>
            <w:r>
              <w:rPr>
                <w:sz w:val="20"/>
              </w:rPr>
              <w:t>Colloid cyst</w:t>
            </w:r>
          </w:p>
        </w:tc>
        <w:tc>
          <w:tcPr>
            <w:tcW w:type="dxa" w:w="1152"/>
          </w:tcPr>
          <w:p>
            <w:r>
              <w:rPr>
                <w:sz w:val="20"/>
              </w:rPr>
              <w:t>Colloid</w:t>
            </w:r>
          </w:p>
        </w:tc>
        <w:tc>
          <w:tcPr>
            <w:tcW w:type="dxa" w:w="1440"/>
          </w:tcPr>
          <w:p>
            <w:r>
              <w:rPr>
                <w:sz w:val="20"/>
              </w:rPr>
              <w:t>ICD-11 2A10.0</w:t>
            </w:r>
          </w:p>
        </w:tc>
        <w:tc>
          <w:tcPr>
            <w:tcW w:type="dxa" w:w="3312"/>
          </w:tcPr>
          <w:p>
            <w:r>
              <w:rPr>
                <w:sz w:val="20"/>
              </w:rPr>
              <w:t>Pollock et al., Neurosurgery 2000; Desai et al., J Neurosurg 2002</w:t>
            </w:r>
          </w:p>
        </w:tc>
      </w:tr>
      <w:tr>
        <w:tc>
          <w:tcPr>
            <w:tcW w:type="dxa" w:w="576"/>
          </w:tcPr>
          <w:p>
            <w:r>
              <w:rPr>
                <w:sz w:val="20"/>
              </w:rPr>
              <w:t>30</w:t>
            </w:r>
          </w:p>
        </w:tc>
        <w:tc>
          <w:tcPr>
            <w:tcW w:type="dxa" w:w="2880"/>
          </w:tcPr>
          <w:p>
            <w:r>
              <w:rPr>
                <w:sz w:val="20"/>
              </w:rPr>
              <w:t>Pituitary adenoma</w:t>
            </w:r>
          </w:p>
        </w:tc>
        <w:tc>
          <w:tcPr>
            <w:tcW w:type="dxa" w:w="1152"/>
          </w:tcPr>
          <w:p>
            <w:r>
              <w:rPr>
                <w:sz w:val="20"/>
              </w:rPr>
              <w:t>Pituitary</w:t>
            </w:r>
          </w:p>
        </w:tc>
        <w:tc>
          <w:tcPr>
            <w:tcW w:type="dxa" w:w="1440"/>
          </w:tcPr>
          <w:p>
            <w:r>
              <w:rPr>
                <w:sz w:val="20"/>
              </w:rPr>
              <w:t>ICD-11 2F37.Y</w:t>
            </w:r>
          </w:p>
        </w:tc>
        <w:tc>
          <w:tcPr>
            <w:tcW w:type="dxa" w:w="3312"/>
          </w:tcPr>
          <w:p>
            <w:r>
              <w:rPr>
                <w:sz w:val="20"/>
              </w:rPr>
              <w:t>Molitch et al., JCEM 2011; Freda et al., JCEM 2011</w:t>
            </w:r>
          </w:p>
        </w:tc>
      </w:tr>
      <w:tr>
        <w:tc>
          <w:tcPr>
            <w:tcW w:type="dxa" w:w="576"/>
          </w:tcPr>
          <w:p>
            <w:r>
              <w:rPr>
                <w:sz w:val="20"/>
              </w:rPr>
              <w:t>31</w:t>
            </w:r>
          </w:p>
        </w:tc>
        <w:tc>
          <w:tcPr>
            <w:tcW w:type="dxa" w:w="2880"/>
          </w:tcPr>
          <w:p>
            <w:r>
              <w:rPr>
                <w:sz w:val="20"/>
              </w:rPr>
              <w:t>Vestibular schwannoma</w:t>
            </w:r>
          </w:p>
        </w:tc>
        <w:tc>
          <w:tcPr>
            <w:tcW w:type="dxa" w:w="1152"/>
          </w:tcPr>
          <w:p>
            <w:r>
              <w:rPr>
                <w:sz w:val="20"/>
              </w:rPr>
              <w:t>Schwannoma</w:t>
            </w:r>
          </w:p>
        </w:tc>
        <w:tc>
          <w:tcPr>
            <w:tcW w:type="dxa" w:w="1440"/>
          </w:tcPr>
          <w:p>
            <w:r>
              <w:rPr>
                <w:sz w:val="20"/>
              </w:rPr>
              <w:t>ICD-11 2A06.0</w:t>
            </w:r>
          </w:p>
        </w:tc>
        <w:tc>
          <w:tcPr>
            <w:tcW w:type="dxa" w:w="3312"/>
          </w:tcPr>
          <w:p>
            <w:r>
              <w:rPr>
                <w:sz w:val="20"/>
              </w:rPr>
              <w:t>Hasegawa et al., J Neurosurg 2005; Carlson et al., J Neurosurg 2013</w:t>
            </w:r>
          </w:p>
        </w:tc>
      </w:tr>
      <w:tr>
        <w:tc>
          <w:tcPr>
            <w:tcW w:type="dxa" w:w="576"/>
          </w:tcPr>
          <w:p>
            <w:r>
              <w:rPr>
                <w:sz w:val="20"/>
              </w:rPr>
              <w:t>32</w:t>
            </w:r>
          </w:p>
        </w:tc>
        <w:tc>
          <w:tcPr>
            <w:tcW w:type="dxa" w:w="2880"/>
          </w:tcPr>
          <w:p>
            <w:r>
              <w:rPr>
                <w:sz w:val="20"/>
              </w:rPr>
              <w:t>Progressive multifocal leukoencephalopathy</w:t>
            </w:r>
          </w:p>
        </w:tc>
        <w:tc>
          <w:tcPr>
            <w:tcW w:type="dxa" w:w="1152"/>
          </w:tcPr>
          <w:p>
            <w:r>
              <w:rPr>
                <w:sz w:val="20"/>
              </w:rPr>
              <w:t>PML</w:t>
            </w:r>
          </w:p>
        </w:tc>
        <w:tc>
          <w:tcPr>
            <w:tcW w:type="dxa" w:w="1440"/>
          </w:tcPr>
          <w:p>
            <w:r>
              <w:rPr>
                <w:sz w:val="20"/>
              </w:rPr>
              <w:t>ICD-11 8A42</w:t>
            </w:r>
          </w:p>
        </w:tc>
        <w:tc>
          <w:tcPr>
            <w:tcW w:type="dxa" w:w="3312"/>
          </w:tcPr>
          <w:p>
            <w:r>
              <w:rPr>
                <w:sz w:val="20"/>
              </w:rPr>
              <w:t>Berger et al., NEJM 2012; Major et al., Lancet Neurol 2010</w:t>
            </w:r>
          </w:p>
        </w:tc>
      </w:tr>
      <w:tr>
        <w:tc>
          <w:tcPr>
            <w:tcW w:type="dxa" w:w="576"/>
          </w:tcPr>
          <w:p>
            <w:r>
              <w:rPr>
                <w:sz w:val="20"/>
              </w:rPr>
              <w:t>33</w:t>
            </w:r>
          </w:p>
        </w:tc>
        <w:tc>
          <w:tcPr>
            <w:tcW w:type="dxa" w:w="2880"/>
          </w:tcPr>
          <w:p>
            <w:r>
              <w:rPr>
                <w:sz w:val="20"/>
              </w:rPr>
              <w:t>Central pontine myelinolysis</w:t>
            </w:r>
          </w:p>
        </w:tc>
        <w:tc>
          <w:tcPr>
            <w:tcW w:type="dxa" w:w="1152"/>
          </w:tcPr>
          <w:p>
            <w:r>
              <w:rPr>
                <w:sz w:val="20"/>
              </w:rPr>
              <w:t>CPM</w:t>
            </w:r>
          </w:p>
        </w:tc>
        <w:tc>
          <w:tcPr>
            <w:tcW w:type="dxa" w:w="1440"/>
          </w:tcPr>
          <w:p>
            <w:r>
              <w:rPr>
                <w:sz w:val="20"/>
              </w:rPr>
              <w:t>ICD-11 8A45</w:t>
            </w:r>
          </w:p>
        </w:tc>
        <w:tc>
          <w:tcPr>
            <w:tcW w:type="dxa" w:w="3312"/>
          </w:tcPr>
          <w:p>
            <w:r>
              <w:rPr>
                <w:sz w:val="20"/>
              </w:rPr>
              <w:t>Sterns et al., NEJM 1986; Singh et al., Mayo Clin Proc 2015</w:t>
            </w:r>
          </w:p>
        </w:tc>
      </w:tr>
      <w:tr>
        <w:tc>
          <w:tcPr>
            <w:tcW w:type="dxa" w:w="576"/>
          </w:tcPr>
          <w:p>
            <w:r>
              <w:rPr>
                <w:sz w:val="20"/>
              </w:rPr>
              <w:t>34</w:t>
            </w:r>
          </w:p>
        </w:tc>
        <w:tc>
          <w:tcPr>
            <w:tcW w:type="dxa" w:w="2880"/>
          </w:tcPr>
          <w:p>
            <w:r>
              <w:rPr>
                <w:sz w:val="20"/>
              </w:rPr>
              <w:t>Radiation necrosis</w:t>
            </w:r>
          </w:p>
        </w:tc>
        <w:tc>
          <w:tcPr>
            <w:tcW w:type="dxa" w:w="1152"/>
          </w:tcPr>
          <w:p>
            <w:r>
              <w:rPr>
                <w:sz w:val="20"/>
              </w:rPr>
              <w:t>RadNecrosis</w:t>
            </w:r>
          </w:p>
        </w:tc>
        <w:tc>
          <w:tcPr>
            <w:tcW w:type="dxa" w:w="1440"/>
          </w:tcPr>
          <w:p>
            <w:r>
              <w:rPr>
                <w:sz w:val="20"/>
              </w:rPr>
              <w:t>ICD-11 8B20</w:t>
            </w:r>
          </w:p>
        </w:tc>
        <w:tc>
          <w:tcPr>
            <w:tcW w:type="dxa" w:w="3312"/>
          </w:tcPr>
          <w:p>
            <w:r>
              <w:rPr>
                <w:sz w:val="20"/>
              </w:rPr>
              <w:t>Chao et al., J Neurooncol 2015; Sundgren et al., Radiology 2004</w:t>
            </w:r>
          </w:p>
        </w:tc>
      </w:tr>
      <w:tr>
        <w:tc>
          <w:tcPr>
            <w:tcW w:type="dxa" w:w="576"/>
          </w:tcPr>
          <w:p>
            <w:r>
              <w:rPr>
                <w:sz w:val="20"/>
              </w:rPr>
              <w:t>35</w:t>
            </w:r>
          </w:p>
        </w:tc>
        <w:tc>
          <w:tcPr>
            <w:tcW w:type="dxa" w:w="2880"/>
          </w:tcPr>
          <w:p>
            <w:r>
              <w:rPr>
                <w:sz w:val="20"/>
              </w:rPr>
              <w:t>Wernicke encephalopathy</w:t>
            </w:r>
          </w:p>
        </w:tc>
        <w:tc>
          <w:tcPr>
            <w:tcW w:type="dxa" w:w="1152"/>
          </w:tcPr>
          <w:p>
            <w:r>
              <w:rPr>
                <w:sz w:val="20"/>
              </w:rPr>
              <w:t>Wernicke</w:t>
            </w:r>
          </w:p>
        </w:tc>
        <w:tc>
          <w:tcPr>
            <w:tcW w:type="dxa" w:w="1440"/>
          </w:tcPr>
          <w:p>
            <w:r>
              <w:rPr>
                <w:sz w:val="20"/>
              </w:rPr>
              <w:t>ICD-11 5B10</w:t>
            </w:r>
          </w:p>
        </w:tc>
        <w:tc>
          <w:tcPr>
            <w:tcW w:type="dxa" w:w="3312"/>
          </w:tcPr>
          <w:p>
            <w:r>
              <w:rPr>
                <w:sz w:val="20"/>
              </w:rPr>
              <w:t>Zuccoli et al., Radiology 2009; Sechi et al., Lancet Neurol 2002</w:t>
            </w:r>
          </w:p>
        </w:tc>
      </w:tr>
    </w:tbl>
    <w:p>
      <w:r>
        <w:br w:type="page"/>
      </w:r>
    </w:p>
    <w:p>
      <w:pPr>
        <w:pStyle w:val="Heading1"/>
      </w:pPr>
      <w:r>
        <w:rPr>
          <w:color w:val="1F4E79"/>
        </w:rPr>
        <w:t>Appendix B: Feature Vector Specification (43 Features)</w:t>
      </w:r>
    </w:p>
    <w:p>
      <w:pPr>
        <w:spacing w:after="160" w:line="276" w:lineRule="auto"/>
      </w:pPr>
      <w:r>
        <w:rPr>
          <w:sz w:val="22"/>
        </w:rPr>
        <w:t>The disease classifier input is a 43-dimensional feature vector encoding lesion morphology, distribution, and topology. The features are extracted from the segmented 3D volume by the feature extraction module (brainframe/classification/trained_model.py, function _encode_features). The feature vector layout is designed to capture the clinical attributes that neuroradiologists use for differential diagnosis: lesion size, number, distribution pattern, laterality, anatomical location, and tissue involvement.</w:t>
      </w:r>
    </w:p>
    <w:tbl>
      <w:tblPr>
        <w:tblStyle w:val="TableGrid"/>
        <w:tblW w:type="auto" w:w="0"/>
        <w:tblLook w:firstColumn="1" w:firstRow="1" w:lastColumn="0" w:lastRow="0" w:noHBand="0" w:noVBand="1" w:val="04A0"/>
      </w:tblPr>
      <w:tblGrid>
        <w:gridCol w:w="2160"/>
        <w:gridCol w:w="2160"/>
        <w:gridCol w:w="2160"/>
        <w:gridCol w:w="2160"/>
      </w:tblGrid>
      <w:tr>
        <w:tc>
          <w:tcPr>
            <w:tcW w:type="dxa" w:w="1152"/>
            <w:shd w:fill="1F4E79" w:val="clear"/>
          </w:tcPr>
          <w:p>
            <w:pPr>
              <w:jc w:val="center"/>
            </w:pPr>
            <w:r>
              <w:rPr>
                <w:b/>
                <w:color w:val="FFFFFF"/>
                <w:sz w:val="20"/>
              </w:rPr>
              <w:t>Index</w:t>
            </w:r>
          </w:p>
        </w:tc>
        <w:tc>
          <w:tcPr>
            <w:tcW w:type="dxa" w:w="2592"/>
            <w:shd w:fill="1F4E79" w:val="clear"/>
          </w:tcPr>
          <w:p>
            <w:pPr>
              <w:jc w:val="center"/>
            </w:pPr>
            <w:r>
              <w:rPr>
                <w:b/>
                <w:color w:val="FFFFFF"/>
                <w:sz w:val="20"/>
              </w:rPr>
              <w:t>Feature</w:t>
            </w:r>
          </w:p>
        </w:tc>
        <w:tc>
          <w:tcPr>
            <w:tcW w:type="dxa" w:w="1440"/>
            <w:shd w:fill="1F4E79" w:val="clear"/>
          </w:tcPr>
          <w:p>
            <w:pPr>
              <w:jc w:val="center"/>
            </w:pPr>
            <w:r>
              <w:rPr>
                <w:b/>
                <w:color w:val="FFFFFF"/>
                <w:sz w:val="20"/>
              </w:rPr>
              <w:t>Type</w:t>
            </w:r>
          </w:p>
        </w:tc>
        <w:tc>
          <w:tcPr>
            <w:tcW w:type="dxa" w:w="4320"/>
            <w:shd w:fill="1F4E79" w:val="clear"/>
          </w:tcPr>
          <w:p>
            <w:pPr>
              <w:jc w:val="center"/>
            </w:pPr>
            <w:r>
              <w:rPr>
                <w:b/>
                <w:color w:val="FFFFFF"/>
                <w:sz w:val="20"/>
              </w:rPr>
              <w:t>Description</w:t>
            </w:r>
          </w:p>
        </w:tc>
      </w:tr>
      <w:tr>
        <w:tc>
          <w:tcPr>
            <w:tcW w:type="dxa" w:w="1152"/>
          </w:tcPr>
          <w:p>
            <w:r>
              <w:rPr>
                <w:sz w:val="20"/>
              </w:rPr>
              <w:t>0</w:t>
            </w:r>
          </w:p>
        </w:tc>
        <w:tc>
          <w:tcPr>
            <w:tcW w:type="dxa" w:w="2592"/>
          </w:tcPr>
          <w:p>
            <w:r>
              <w:rPr>
                <w:sz w:val="20"/>
              </w:rPr>
              <w:t>log(volume)</w:t>
            </w:r>
          </w:p>
        </w:tc>
        <w:tc>
          <w:tcPr>
            <w:tcW w:type="dxa" w:w="1440"/>
          </w:tcPr>
          <w:p>
            <w:r>
              <w:rPr>
                <w:sz w:val="20"/>
              </w:rPr>
              <w:t>Scalar</w:t>
            </w:r>
          </w:p>
        </w:tc>
        <w:tc>
          <w:tcPr>
            <w:tcW w:type="dxa" w:w="4320"/>
          </w:tcPr>
          <w:p>
            <w:r>
              <w:rPr>
                <w:sz w:val="20"/>
              </w:rPr>
              <w:t>Log-scaled lesion volume, normalised by 12.0</w:t>
            </w:r>
          </w:p>
        </w:tc>
      </w:tr>
      <w:tr>
        <w:tc>
          <w:tcPr>
            <w:tcW w:type="dxa" w:w="1152"/>
          </w:tcPr>
          <w:p>
            <w:r>
              <w:rPr>
                <w:sz w:val="20"/>
              </w:rPr>
              <w:t>1</w:t>
            </w:r>
          </w:p>
        </w:tc>
        <w:tc>
          <w:tcPr>
            <w:tcW w:type="dxa" w:w="2592"/>
          </w:tcPr>
          <w:p>
            <w:r>
              <w:rPr>
                <w:sz w:val="20"/>
              </w:rPr>
              <w:t>n_regions (norm)</w:t>
            </w:r>
          </w:p>
        </w:tc>
        <w:tc>
          <w:tcPr>
            <w:tcW w:type="dxa" w:w="1440"/>
          </w:tcPr>
          <w:p>
            <w:r>
              <w:rPr>
                <w:sz w:val="20"/>
              </w:rPr>
              <w:t>Scalar</w:t>
            </w:r>
          </w:p>
        </w:tc>
        <w:tc>
          <w:tcPr>
            <w:tcW w:type="dxa" w:w="4320"/>
          </w:tcPr>
          <w:p>
            <w:r>
              <w:rPr>
                <w:sz w:val="20"/>
              </w:rPr>
              <w:t>Number of distinct lesion regions, normalised by 20</w:t>
            </w:r>
          </w:p>
        </w:tc>
      </w:tr>
      <w:tr>
        <w:tc>
          <w:tcPr>
            <w:tcW w:type="dxa" w:w="1152"/>
          </w:tcPr>
          <w:p>
            <w:r>
              <w:rPr>
                <w:sz w:val="20"/>
              </w:rPr>
              <w:t>2</w:t>
            </w:r>
          </w:p>
        </w:tc>
        <w:tc>
          <w:tcPr>
            <w:tcW w:type="dxa" w:w="2592"/>
          </w:tcPr>
          <w:p>
            <w:r>
              <w:rPr>
                <w:sz w:val="20"/>
              </w:rPr>
              <w:t>lesion_density</w:t>
            </w:r>
          </w:p>
        </w:tc>
        <w:tc>
          <w:tcPr>
            <w:tcW w:type="dxa" w:w="1440"/>
          </w:tcPr>
          <w:p>
            <w:r>
              <w:rPr>
                <w:sz w:val="20"/>
              </w:rPr>
              <w:t>Scalar</w:t>
            </w:r>
          </w:p>
        </w:tc>
        <w:tc>
          <w:tcPr>
            <w:tcW w:type="dxa" w:w="4320"/>
          </w:tcPr>
          <w:p>
            <w:r>
              <w:rPr>
                <w:sz w:val="20"/>
              </w:rPr>
              <w:t>Volume per region (packing density)</w:t>
            </w:r>
          </w:p>
        </w:tc>
      </w:tr>
      <w:tr>
        <w:tc>
          <w:tcPr>
            <w:tcW w:type="dxa" w:w="1152"/>
          </w:tcPr>
          <w:p>
            <w:r>
              <w:rPr>
                <w:sz w:val="20"/>
              </w:rPr>
              <w:t>3</w:t>
            </w:r>
          </w:p>
        </w:tc>
        <w:tc>
          <w:tcPr>
            <w:tcW w:type="dxa" w:w="2592"/>
          </w:tcPr>
          <w:p>
            <w:r>
              <w:rPr>
                <w:sz w:val="20"/>
              </w:rPr>
              <w:t>is_bilateral</w:t>
            </w:r>
          </w:p>
        </w:tc>
        <w:tc>
          <w:tcPr>
            <w:tcW w:type="dxa" w:w="1440"/>
          </w:tcPr>
          <w:p>
            <w:r>
              <w:rPr>
                <w:sz w:val="20"/>
              </w:rPr>
              <w:t>Binary</w:t>
            </w:r>
          </w:p>
        </w:tc>
        <w:tc>
          <w:tcPr>
            <w:tcW w:type="dxa" w:w="4320"/>
          </w:tcPr>
          <w:p>
            <w:r>
              <w:rPr>
                <w:sz w:val="20"/>
              </w:rPr>
              <w:t>1.0 if bilateral, else 0.0</w:t>
            </w:r>
          </w:p>
        </w:tc>
      </w:tr>
      <w:tr>
        <w:tc>
          <w:tcPr>
            <w:tcW w:type="dxa" w:w="1152"/>
          </w:tcPr>
          <w:p>
            <w:r>
              <w:rPr>
                <w:sz w:val="20"/>
              </w:rPr>
              <w:t>4</w:t>
            </w:r>
          </w:p>
        </w:tc>
        <w:tc>
          <w:tcPr>
            <w:tcW w:type="dxa" w:w="2592"/>
          </w:tcPr>
          <w:p>
            <w:r>
              <w:rPr>
                <w:sz w:val="20"/>
              </w:rPr>
              <w:t>asymmetry_index</w:t>
            </w:r>
          </w:p>
        </w:tc>
        <w:tc>
          <w:tcPr>
            <w:tcW w:type="dxa" w:w="1440"/>
          </w:tcPr>
          <w:p>
            <w:r>
              <w:rPr>
                <w:sz w:val="20"/>
              </w:rPr>
              <w:t>Scalar</w:t>
            </w:r>
          </w:p>
        </w:tc>
        <w:tc>
          <w:tcPr>
            <w:tcW w:type="dxa" w:w="4320"/>
          </w:tcPr>
          <w:p>
            <w:r>
              <w:rPr>
                <w:sz w:val="20"/>
              </w:rPr>
              <w:t>|left - right| / (left + right)</w:t>
            </w:r>
          </w:p>
        </w:tc>
      </w:tr>
      <w:tr>
        <w:tc>
          <w:tcPr>
            <w:tcW w:type="dxa" w:w="1152"/>
          </w:tcPr>
          <w:p>
            <w:r>
              <w:rPr>
                <w:sz w:val="20"/>
              </w:rPr>
              <w:t>5</w:t>
            </w:r>
          </w:p>
        </w:tc>
        <w:tc>
          <w:tcPr>
            <w:tcW w:type="dxa" w:w="2592"/>
          </w:tcPr>
          <w:p>
            <w:r>
              <w:rPr>
                <w:sz w:val="20"/>
              </w:rPr>
              <w:t>region_entropy</w:t>
            </w:r>
          </w:p>
        </w:tc>
        <w:tc>
          <w:tcPr>
            <w:tcW w:type="dxa" w:w="1440"/>
          </w:tcPr>
          <w:p>
            <w:r>
              <w:rPr>
                <w:sz w:val="20"/>
              </w:rPr>
              <w:t>Scalar</w:t>
            </w:r>
          </w:p>
        </w:tc>
        <w:tc>
          <w:tcPr>
            <w:tcW w:type="dxa" w:w="4320"/>
          </w:tcPr>
          <w:p>
            <w:r>
              <w:rPr>
                <w:sz w:val="20"/>
              </w:rPr>
              <w:t>Shannon entropy of region distribution</w:t>
            </w:r>
          </w:p>
        </w:tc>
      </w:tr>
      <w:tr>
        <w:tc>
          <w:tcPr>
            <w:tcW w:type="dxa" w:w="1152"/>
          </w:tcPr>
          <w:p>
            <w:r>
              <w:rPr>
                <w:sz w:val="20"/>
              </w:rPr>
              <w:t>6</w:t>
            </w:r>
          </w:p>
        </w:tc>
        <w:tc>
          <w:tcPr>
            <w:tcW w:type="dxa" w:w="2592"/>
          </w:tcPr>
          <w:p>
            <w:r>
              <w:rPr>
                <w:sz w:val="20"/>
              </w:rPr>
              <w:t>cortical_ratio</w:t>
            </w:r>
          </w:p>
        </w:tc>
        <w:tc>
          <w:tcPr>
            <w:tcW w:type="dxa" w:w="1440"/>
          </w:tcPr>
          <w:p>
            <w:r>
              <w:rPr>
                <w:sz w:val="20"/>
              </w:rPr>
              <w:t>Scalar</w:t>
            </w:r>
          </w:p>
        </w:tc>
        <w:tc>
          <w:tcPr>
            <w:tcW w:type="dxa" w:w="4320"/>
          </w:tcPr>
          <w:p>
            <w:r>
              <w:rPr>
                <w:sz w:val="20"/>
              </w:rPr>
              <w:t>Fraction of cortical regions</w:t>
            </w:r>
          </w:p>
        </w:tc>
      </w:tr>
      <w:tr>
        <w:tc>
          <w:tcPr>
            <w:tcW w:type="dxa" w:w="1152"/>
          </w:tcPr>
          <w:p>
            <w:r>
              <w:rPr>
                <w:sz w:val="20"/>
              </w:rPr>
              <w:t>7</w:t>
            </w:r>
          </w:p>
        </w:tc>
        <w:tc>
          <w:tcPr>
            <w:tcW w:type="dxa" w:w="2592"/>
          </w:tcPr>
          <w:p>
            <w:r>
              <w:rPr>
                <w:sz w:val="20"/>
              </w:rPr>
              <w:t>deep_ratio</w:t>
            </w:r>
          </w:p>
        </w:tc>
        <w:tc>
          <w:tcPr>
            <w:tcW w:type="dxa" w:w="1440"/>
          </w:tcPr>
          <w:p>
            <w:r>
              <w:rPr>
                <w:sz w:val="20"/>
              </w:rPr>
              <w:t>Scalar</w:t>
            </w:r>
          </w:p>
        </w:tc>
        <w:tc>
          <w:tcPr>
            <w:tcW w:type="dxa" w:w="4320"/>
          </w:tcPr>
          <w:p>
            <w:r>
              <w:rPr>
                <w:sz w:val="20"/>
              </w:rPr>
              <w:t>Fraction of deep structures</w:t>
            </w:r>
          </w:p>
        </w:tc>
      </w:tr>
      <w:tr>
        <w:tc>
          <w:tcPr>
            <w:tcW w:type="dxa" w:w="1152"/>
          </w:tcPr>
          <w:p>
            <w:r>
              <w:rPr>
                <w:sz w:val="20"/>
              </w:rPr>
              <w:t>8</w:t>
            </w:r>
          </w:p>
        </w:tc>
        <w:tc>
          <w:tcPr>
            <w:tcW w:type="dxa" w:w="2592"/>
          </w:tcPr>
          <w:p>
            <w:r>
              <w:rPr>
                <w:sz w:val="20"/>
              </w:rPr>
              <w:t>volume_per_region</w:t>
            </w:r>
          </w:p>
        </w:tc>
        <w:tc>
          <w:tcPr>
            <w:tcW w:type="dxa" w:w="1440"/>
          </w:tcPr>
          <w:p>
            <w:r>
              <w:rPr>
                <w:sz w:val="20"/>
              </w:rPr>
              <w:t>Scalar</w:t>
            </w:r>
          </w:p>
        </w:tc>
        <w:tc>
          <w:tcPr>
            <w:tcW w:type="dxa" w:w="4320"/>
          </w:tcPr>
          <w:p>
            <w:r>
              <w:rPr>
                <w:sz w:val="20"/>
              </w:rPr>
              <w:t>Average volume per region</w:t>
            </w:r>
          </w:p>
        </w:tc>
      </w:tr>
      <w:tr>
        <w:tc>
          <w:tcPr>
            <w:tcW w:type="dxa" w:w="1152"/>
          </w:tcPr>
          <w:p>
            <w:r>
              <w:rPr>
                <w:sz w:val="20"/>
              </w:rPr>
              <w:t>9–15</w:t>
            </w:r>
          </w:p>
        </w:tc>
        <w:tc>
          <w:tcPr>
            <w:tcW w:type="dxa" w:w="2592"/>
          </w:tcPr>
          <w:p>
            <w:r>
              <w:rPr>
                <w:sz w:val="20"/>
              </w:rPr>
              <w:t>pattern one-hot</w:t>
            </w:r>
          </w:p>
        </w:tc>
        <w:tc>
          <w:tcPr>
            <w:tcW w:type="dxa" w:w="1440"/>
          </w:tcPr>
          <w:p>
            <w:r>
              <w:rPr>
                <w:sz w:val="20"/>
              </w:rPr>
              <w:t>One-hot (7)</w:t>
            </w:r>
          </w:p>
        </w:tc>
        <w:tc>
          <w:tcPr>
            <w:tcW w:type="dxa" w:w="4320"/>
          </w:tcPr>
          <w:p>
            <w:r>
              <w:rPr>
                <w:sz w:val="20"/>
              </w:rPr>
              <w:t>focal, diffuse, symmetric, periventricular, ring_enhancing, cystic, hemorrhagic</w:t>
            </w:r>
          </w:p>
        </w:tc>
      </w:tr>
      <w:tr>
        <w:tc>
          <w:tcPr>
            <w:tcW w:type="dxa" w:w="1152"/>
          </w:tcPr>
          <w:p>
            <w:r>
              <w:rPr>
                <w:sz w:val="20"/>
              </w:rPr>
              <w:t>16–19</w:t>
            </w:r>
          </w:p>
        </w:tc>
        <w:tc>
          <w:tcPr>
            <w:tcW w:type="dxa" w:w="2592"/>
          </w:tcPr>
          <w:p>
            <w:r>
              <w:rPr>
                <w:sz w:val="20"/>
              </w:rPr>
              <w:t>laterality one-hot</w:t>
            </w:r>
          </w:p>
        </w:tc>
        <w:tc>
          <w:tcPr>
            <w:tcW w:type="dxa" w:w="1440"/>
          </w:tcPr>
          <w:p>
            <w:r>
              <w:rPr>
                <w:sz w:val="20"/>
              </w:rPr>
              <w:t>One-hot (4)</w:t>
            </w:r>
          </w:p>
        </w:tc>
        <w:tc>
          <w:tcPr>
            <w:tcW w:type="dxa" w:w="4320"/>
          </w:tcPr>
          <w:p>
            <w:r>
              <w:rPr>
                <w:sz w:val="20"/>
              </w:rPr>
              <w:t>left, right, bilateral, any</w:t>
            </w:r>
          </w:p>
        </w:tc>
      </w:tr>
      <w:tr>
        <w:tc>
          <w:tcPr>
            <w:tcW w:type="dxa" w:w="1152"/>
          </w:tcPr>
          <w:p>
            <w:r>
              <w:rPr>
                <w:sz w:val="20"/>
              </w:rPr>
              <w:t>20–42</w:t>
            </w:r>
          </w:p>
        </w:tc>
        <w:tc>
          <w:tcPr>
            <w:tcW w:type="dxa" w:w="2592"/>
          </w:tcPr>
          <w:p>
            <w:r>
              <w:rPr>
                <w:sz w:val="20"/>
              </w:rPr>
              <w:t>region multi-hot</w:t>
            </w:r>
          </w:p>
        </w:tc>
        <w:tc>
          <w:tcPr>
            <w:tcW w:type="dxa" w:w="1440"/>
          </w:tcPr>
          <w:p>
            <w:r>
              <w:rPr>
                <w:sz w:val="20"/>
              </w:rPr>
              <w:t>Multi-hot (23)</w:t>
            </w:r>
          </w:p>
        </w:tc>
        <w:tc>
          <w:tcPr>
            <w:tcW w:type="dxa" w:w="4320"/>
          </w:tcPr>
          <w:p>
            <w:r>
              <w:rPr>
                <w:sz w:val="20"/>
              </w:rPr>
              <w:t>23 anatomical regions (see below)</w:t>
            </w:r>
          </w:p>
        </w:tc>
      </w:tr>
    </w:tbl>
    <w:p>
      <w:pPr>
        <w:spacing w:after="160" w:line="276" w:lineRule="auto"/>
      </w:pPr>
      <w:r>
        <w:rPr>
          <w:sz w:val="22"/>
        </w:rPr>
        <w:t>The 23 anatomical regions (indices 20–42) are classified as cortical, deep, or other:</w:t>
      </w:r>
    </w:p>
    <w:tbl>
      <w:tblPr>
        <w:tblStyle w:val="TableGrid"/>
        <w:tblW w:type="auto" w:w="0"/>
        <w:tblLook w:firstColumn="1" w:firstRow="1" w:lastColumn="0" w:lastRow="0" w:noHBand="0" w:noVBand="1" w:val="04A0"/>
      </w:tblPr>
      <w:tblGrid>
        <w:gridCol w:w="2880"/>
        <w:gridCol w:w="2880"/>
        <w:gridCol w:w="2880"/>
      </w:tblGrid>
      <w:tr>
        <w:tc>
          <w:tcPr>
            <w:tcW w:type="dxa" w:w="2880"/>
            <w:shd w:fill="1F4E79" w:val="clear"/>
          </w:tcPr>
          <w:p>
            <w:pPr>
              <w:jc w:val="center"/>
            </w:pPr>
            <w:r>
              <w:rPr>
                <w:b/>
                <w:color w:val="FFFFFF"/>
                <w:sz w:val="20"/>
              </w:rPr>
              <w:t>Cortical Regions</w:t>
            </w:r>
          </w:p>
        </w:tc>
        <w:tc>
          <w:tcPr>
            <w:tcW w:type="dxa" w:w="2880"/>
            <w:shd w:fill="1F4E79" w:val="clear"/>
          </w:tcPr>
          <w:p>
            <w:pPr>
              <w:jc w:val="center"/>
            </w:pPr>
            <w:r>
              <w:rPr>
                <w:b/>
                <w:color w:val="FFFFFF"/>
                <w:sz w:val="20"/>
              </w:rPr>
              <w:t>Deep Structures</w:t>
            </w:r>
          </w:p>
        </w:tc>
        <w:tc>
          <w:tcPr>
            <w:tcW w:type="dxa" w:w="2880"/>
            <w:shd w:fill="1F4E79" w:val="clear"/>
          </w:tcPr>
          <w:p>
            <w:pPr>
              <w:jc w:val="center"/>
            </w:pPr>
            <w:r>
              <w:rPr>
                <w:b/>
                <w:color w:val="FFFFFF"/>
                <w:sz w:val="20"/>
              </w:rPr>
              <w:t>Other</w:t>
            </w:r>
          </w:p>
        </w:tc>
      </w:tr>
      <w:tr>
        <w:tc>
          <w:tcPr>
            <w:tcW w:type="dxa" w:w="2880"/>
          </w:tcPr>
          <w:p>
            <w:r>
              <w:rPr>
                <w:sz w:val="20"/>
              </w:rPr>
              <w:t>frontal</w:t>
            </w:r>
          </w:p>
        </w:tc>
        <w:tc>
          <w:tcPr>
            <w:tcW w:type="dxa" w:w="2880"/>
          </w:tcPr>
          <w:p>
            <w:r>
              <w:rPr>
                <w:sz w:val="20"/>
              </w:rPr>
              <w:t>basal_ganglia</w:t>
            </w:r>
          </w:p>
        </w:tc>
        <w:tc>
          <w:tcPr>
            <w:tcW w:type="dxa" w:w="2880"/>
          </w:tcPr>
          <w:p>
            <w:r>
              <w:rPr>
                <w:sz w:val="20"/>
              </w:rPr>
              <w:t>periventricular</w:t>
            </w:r>
          </w:p>
        </w:tc>
      </w:tr>
      <w:tr>
        <w:tc>
          <w:tcPr>
            <w:tcW w:type="dxa" w:w="2880"/>
          </w:tcPr>
          <w:p>
            <w:r>
              <w:rPr>
                <w:sz w:val="20"/>
              </w:rPr>
              <w:t>parietal</w:t>
            </w:r>
          </w:p>
        </w:tc>
        <w:tc>
          <w:tcPr>
            <w:tcW w:type="dxa" w:w="2880"/>
          </w:tcPr>
          <w:p>
            <w:r>
              <w:rPr>
                <w:sz w:val="20"/>
              </w:rPr>
              <w:t>thalamus</w:t>
            </w:r>
          </w:p>
        </w:tc>
        <w:tc>
          <w:tcPr>
            <w:tcW w:type="dxa" w:w="2880"/>
          </w:tcPr>
          <w:p>
            <w:r>
              <w:rPr>
                <w:sz w:val="20"/>
              </w:rPr>
              <w:t>corona_radiata</w:t>
            </w:r>
          </w:p>
        </w:tc>
      </w:tr>
      <w:tr>
        <w:tc>
          <w:tcPr>
            <w:tcW w:type="dxa" w:w="2880"/>
          </w:tcPr>
          <w:p>
            <w:r>
              <w:rPr>
                <w:sz w:val="20"/>
              </w:rPr>
              <w:t>temporal</w:t>
            </w:r>
          </w:p>
        </w:tc>
        <w:tc>
          <w:tcPr>
            <w:tcW w:type="dxa" w:w="2880"/>
          </w:tcPr>
          <w:p>
            <w:r>
              <w:rPr>
                <w:sz w:val="20"/>
              </w:rPr>
              <w:t>brainstem</w:t>
            </w:r>
          </w:p>
        </w:tc>
        <w:tc>
          <w:tcPr>
            <w:tcW w:type="dxa" w:w="2880"/>
          </w:tcPr>
          <w:p>
            <w:r>
              <w:rPr>
                <w:sz w:val="20"/>
              </w:rPr>
              <w:t>ventricular</w:t>
            </w:r>
          </w:p>
        </w:tc>
      </w:tr>
      <w:tr>
        <w:tc>
          <w:tcPr>
            <w:tcW w:type="dxa" w:w="2880"/>
          </w:tcPr>
          <w:p>
            <w:r>
              <w:rPr>
                <w:sz w:val="20"/>
              </w:rPr>
              <w:t>occipital</w:t>
            </w:r>
          </w:p>
        </w:tc>
        <w:tc>
          <w:tcPr>
            <w:tcW w:type="dxa" w:w="2880"/>
          </w:tcPr>
          <w:p>
            <w:r>
              <w:rPr>
                <w:sz w:val="20"/>
              </w:rPr>
              <w:t>midbrain</w:t>
            </w:r>
          </w:p>
        </w:tc>
        <w:tc>
          <w:tcPr>
            <w:tcW w:type="dxa" w:w="2880"/>
          </w:tcPr>
          <w:p>
            <w:r>
              <w:rPr>
                <w:sz w:val="20"/>
              </w:rPr>
              <w:t>internal_capsule</w:t>
            </w:r>
          </w:p>
        </w:tc>
      </w:tr>
      <w:tr>
        <w:tc>
          <w:tcPr>
            <w:tcW w:type="dxa" w:w="2880"/>
          </w:tcPr>
          <w:p>
            <w:r>
              <w:rPr>
                <w:sz w:val="20"/>
              </w:rPr>
              <w:t>motor_cortex</w:t>
            </w:r>
          </w:p>
        </w:tc>
        <w:tc>
          <w:tcPr>
            <w:tcW w:type="dxa" w:w="2880"/>
          </w:tcPr>
          <w:p>
            <w:r>
              <w:rPr>
                <w:sz w:val="20"/>
              </w:rPr>
              <w:t>cerebellum</w:t>
            </w:r>
          </w:p>
        </w:tc>
        <w:tc>
          <w:tcPr>
            <w:tcW w:type="dxa" w:w="2880"/>
          </w:tcPr>
          <w:p>
            <w:r>
              <w:rPr>
                <w:sz w:val="20"/>
              </w:rPr>
              <w:t>corpus_callosum</w:t>
            </w:r>
          </w:p>
        </w:tc>
      </w:tr>
      <w:tr>
        <w:tc>
          <w:tcPr>
            <w:tcW w:type="dxa" w:w="2880"/>
          </w:tcPr>
          <w:p>
            <w:r>
              <w:rPr>
                <w:sz w:val="20"/>
              </w:rPr>
              <w:t>insula</w:t>
            </w:r>
          </w:p>
        </w:tc>
        <w:tc>
          <w:tcPr>
            <w:tcW w:type="dxa" w:w="2880"/>
          </w:tcPr>
          <w:p>
            <w:r>
              <w:rPr>
                <w:sz w:val="20"/>
              </w:rPr>
              <w:t>hippocampus</w:t>
            </w:r>
          </w:p>
        </w:tc>
        <w:tc>
          <w:tcPr>
            <w:tcW w:type="dxa" w:w="2880"/>
          </w:tcPr>
          <w:p>
            <w:r>
              <w:rPr>
                <w:sz w:val="20"/>
              </w:rPr>
              <w:t>cerebellopontine_angle</w:t>
            </w:r>
          </w:p>
        </w:tc>
      </w:tr>
      <w:tr>
        <w:tc>
          <w:tcPr>
            <w:tcW w:type="dxa" w:w="2880"/>
          </w:tcPr>
          <w:p>
            <w:r>
              <w:rPr>
                <w:sz w:val="20"/>
              </w:rPr>
              <w:t>limbic</w:t>
            </w:r>
          </w:p>
        </w:tc>
        <w:tc>
          <w:tcPr>
            <w:tcW w:type="dxa" w:w="2880"/>
          </w:tcPr>
          <w:p>
            <w:r>
              <w:rPr>
                <w:sz w:val="20"/>
              </w:rPr>
              <w:t>—</w:t>
            </w:r>
          </w:p>
        </w:tc>
        <w:tc>
          <w:tcPr>
            <w:tcW w:type="dxa" w:w="2880"/>
          </w:tcPr>
          <w:p>
            <w:r>
              <w:rPr>
                <w:sz w:val="20"/>
              </w:rPr>
              <w:t>pituitary_fossa</w:t>
            </w:r>
          </w:p>
        </w:tc>
      </w:tr>
      <w:tr>
        <w:tc>
          <w:tcPr>
            <w:tcW w:type="dxa" w:w="2880"/>
          </w:tcPr>
          <w:p>
            <w:r>
              <w:rPr>
                <w:sz w:val="20"/>
              </w:rPr>
              <w:t>—</w:t>
            </w:r>
          </w:p>
        </w:tc>
        <w:tc>
          <w:tcPr>
            <w:tcW w:type="dxa" w:w="2880"/>
          </w:tcPr>
          <w:p>
            <w:r>
              <w:rPr>
                <w:sz w:val="20"/>
              </w:rPr>
              <w:t>—</w:t>
            </w:r>
          </w:p>
        </w:tc>
        <w:tc>
          <w:tcPr>
            <w:tcW w:type="dxa" w:w="2880"/>
          </w:tcPr>
          <w:p>
            <w:r>
              <w:rPr>
                <w:sz w:val="20"/>
              </w:rPr>
              <w:t>pineal</w:t>
            </w:r>
          </w:p>
        </w:tc>
      </w:tr>
      <w:tr>
        <w:tc>
          <w:tcPr>
            <w:tcW w:type="dxa" w:w="2880"/>
          </w:tcPr>
          <w:p>
            <w:r>
              <w:rPr>
                <w:sz w:val="20"/>
              </w:rPr>
              <w:t>—</w:t>
            </w:r>
          </w:p>
        </w:tc>
        <w:tc>
          <w:tcPr>
            <w:tcW w:type="dxa" w:w="2880"/>
          </w:tcPr>
          <w:p>
            <w:r>
              <w:rPr>
                <w:sz w:val="20"/>
              </w:rPr>
              <w:t>—</w:t>
            </w:r>
          </w:p>
        </w:tc>
        <w:tc>
          <w:tcPr>
            <w:tcW w:type="dxa" w:w="2880"/>
          </w:tcPr>
          <w:p>
            <w:r>
              <w:rPr>
                <w:sz w:val="20"/>
              </w:rPr>
              <w:t>extra_axial</w:t>
            </w:r>
          </w:p>
        </w:tc>
      </w:tr>
      <w:tr>
        <w:tc>
          <w:tcPr>
            <w:tcW w:type="dxa" w:w="2880"/>
          </w:tcPr>
          <w:p>
            <w:r>
              <w:rPr>
                <w:sz w:val="20"/>
              </w:rPr>
              <w:t>—</w:t>
            </w:r>
          </w:p>
        </w:tc>
        <w:tc>
          <w:tcPr>
            <w:tcW w:type="dxa" w:w="2880"/>
          </w:tcPr>
          <w:p>
            <w:r>
              <w:rPr>
                <w:sz w:val="20"/>
              </w:rPr>
              <w:t>—</w:t>
            </w:r>
          </w:p>
        </w:tc>
        <w:tc>
          <w:tcPr>
            <w:tcW w:type="dxa" w:w="2880"/>
          </w:tcPr>
          <w:p>
            <w:r>
              <w:rPr>
                <w:sz w:val="20"/>
              </w:rPr>
              <w:t>gray_white_junction</w:t>
            </w:r>
          </w:p>
        </w:tc>
      </w:tr>
    </w:tbl>
    <w:p>
      <w:pPr>
        <w:spacing w:after="160" w:line="276" w:lineRule="auto"/>
      </w:pPr>
      <w:r>
        <w:rPr>
          <w:sz w:val="22"/>
        </w:rPr>
        <w:t>The cortical-to-deep ratio (features 6 and 7) is computed by classifying each involved region as cortical (frontal, parietal, temporal, occipital, motor_cortex, insula, limbic, hippocampus) or deep (basal_ganglia, thalamus, brainstem, cerebellum, midbrain, corona_radiata, periventricular, ventricular, internal_capsule, corpus_callosum, cerebellopontine_angle, pituitary_fossa, pineal). This ratio is clinically meaningful: cortical-predominant patterns suggest neurodegenerative diseases (Alzheimer's, FTD), while deep-predominant patterns suggest movement disorders (Parkinson's, Huntington's, MSA) or small vessel disease (VaD, CADASIL).</w:t>
      </w:r>
    </w:p>
    <w:p>
      <w:r>
        <w:br w:type="page"/>
      </w:r>
    </w:p>
    <w:p>
      <w:pPr>
        <w:pStyle w:val="Heading1"/>
      </w:pPr>
      <w:r>
        <w:rPr>
          <w:color w:val="1F4E79"/>
        </w:rPr>
        <w:t>Appendix C: Configuration Files</w:t>
      </w:r>
    </w:p>
    <w:p>
      <w:pPr>
        <w:pStyle w:val="Heading2"/>
      </w:pPr>
      <w:r>
        <w:rPr>
          <w:color w:val="1F4E79"/>
        </w:rPr>
        <w:t>C.1 Master Configuration (configs/default.yaml)</w:t>
      </w:r>
    </w:p>
    <w:p>
      <w:pPr>
        <w:spacing w:before="80" w:after="80"/>
        <w:ind w:left="432"/>
      </w:pPr>
      <w:r>
        <w:rPr>
          <w:rFonts w:ascii="Courier New" w:hAnsi="Courier New"/>
          <w:color w:val="202020"/>
          <w:sz w:val="18"/>
        </w:rPr>
        <w:t>seed: 42</w:t>
        <w:br/>
        <w:t>device: auto</w:t>
        <w:br/>
        <w:t>log_level: INFO</w:t>
        <w:br/>
        <w:br/>
        <w:t>paths:</w:t>
        <w:br/>
        <w:t xml:space="preserve">  data_dir: data</w:t>
        <w:br/>
        <w:t xml:space="preserve">  raw_dir: data/raw</w:t>
        <w:br/>
        <w:t xml:space="preserve">  processed_dir: data/processed</w:t>
        <w:br/>
        <w:t xml:space="preserve">  checkpoint_dir: data/checkpoints</w:t>
        <w:br/>
        <w:t xml:space="preserve">  output_dir: data/outputs</w:t>
        <w:br/>
        <w:br/>
        <w:t>pipeline:</w:t>
        <w:br/>
        <w:t xml:space="preserve">  stages: [segment, reconstruct, evaluate, classify]</w:t>
        <w:br/>
        <w:t xml:space="preserve">  cache: true</w:t>
        <w:br/>
        <w:t xml:space="preserve">  cache_dir: data/outputs/cache</w:t>
        <w:br/>
        <w:br/>
        <w:t>stages:</w:t>
        <w:br/>
        <w:t xml:space="preserve">  classification: configs/classification.yaml</w:t>
        <w:br/>
        <w:t xml:space="preserve">  segmentation: configs/segmentation.yaml</w:t>
        <w:br/>
        <w:t xml:space="preserve">  reconstruction: configs/reconstruction.yaml</w:t>
        <w:br/>
        <w:t xml:space="preserve">  evaluation: configs/evaluation.yaml</w:t>
        <w:br/>
        <w:br/>
        <w:t>sam:</w:t>
        <w:br/>
        <w:t xml:space="preserve">  model_type: vit_b</w:t>
        <w:br/>
        <w:t xml:space="preserve">  checkpoint_dir: data/checkpoints</w:t>
        <w:br/>
        <w:t xml:space="preserve">  auto_download: true</w:t>
        <w:br/>
        <w:t xml:space="preserve">  fallback_to_mock: true</w:t>
        <w:br/>
        <w:br/>
        <w:t>datasets:</w:t>
        <w:br/>
        <w:t xml:space="preserve">  oasis:</w:t>
        <w:br/>
        <w:t xml:space="preserve">    root: data/raw/oasis</w:t>
        <w:br/>
        <w:t xml:space="preserve">    modality: T1</w:t>
        <w:br/>
        <w:t xml:space="preserve">  brats:</w:t>
        <w:br/>
        <w:t xml:space="preserve">    root: data/raw/brats</w:t>
        <w:br/>
        <w:t xml:space="preserve">    modality: T1ce</w:t>
      </w:r>
    </w:p>
    <w:p>
      <w:pPr>
        <w:ind w:left="432"/>
      </w:pPr>
      <w:r>
        <w:rPr>
          <w:i/>
          <w:color w:val="555555"/>
          <w:sz w:val="16"/>
        </w:rPr>
        <w:t>[YAML]</w:t>
      </w:r>
    </w:p>
    <w:p>
      <w:pPr>
        <w:pStyle w:val="Heading2"/>
      </w:pPr>
      <w:r>
        <w:rPr>
          <w:color w:val="1F4E79"/>
        </w:rPr>
        <w:t>C.2 Classification Configuration (configs/classification.yaml)</w:t>
      </w:r>
    </w:p>
    <w:p>
      <w:pPr>
        <w:spacing w:before="80" w:after="80"/>
        <w:ind w:left="432"/>
      </w:pPr>
      <w:r>
        <w:rPr>
          <w:rFonts w:ascii="Courier New" w:hAnsi="Courier New"/>
          <w:color w:val="202020"/>
          <w:sz w:val="18"/>
        </w:rPr>
        <w:t>classification:</w:t>
        <w:br/>
        <w:t xml:space="preserve">  model:</w:t>
        <w:br/>
        <w:t xml:space="preserve">    name: densenet3d</w:t>
        <w:br/>
        <w:t xml:space="preserve">    in_channels: 1</w:t>
        <w:br/>
        <w:t xml:space="preserve">    num_classes: 4</w:t>
        <w:br/>
        <w:t xml:space="preserve">    spatial_dims: 3</w:t>
        <w:br/>
        <w:t xml:space="preserve">    pretrained: false</w:t>
        <w:br/>
        <w:t xml:space="preserve">  slice_ensemble:</w:t>
        <w:br/>
        <w:t xml:space="preserve">    backbone: resnet18</w:t>
        <w:br/>
        <w:t xml:space="preserve">    slice_axis: 2</w:t>
        <w:br/>
        <w:t xml:space="preserve">    aggregation: mean</w:t>
        <w:br/>
        <w:t xml:space="preserve">  train:</w:t>
        <w:br/>
        <w:t xml:space="preserve">    epochs: 50</w:t>
        <w:br/>
        <w:t xml:space="preserve">    batch_size: 2</w:t>
        <w:br/>
        <w:t xml:space="preserve">    learning_rate: 1.0e-4</w:t>
        <w:br/>
        <w:t xml:space="preserve">    weight_decay: 1.0e-5</w:t>
        <w:br/>
        <w:t xml:space="preserve">    optimizer: adamw</w:t>
        <w:br/>
        <w:t xml:space="preserve">    scheduler: cosine</w:t>
        <w:br/>
        <w:t xml:space="preserve">    amp: true</w:t>
        <w:br/>
        <w:t xml:space="preserve">    early_stopping:</w:t>
        <w:br/>
        <w:t xml:space="preserve">      patience: 8</w:t>
        <w:br/>
        <w:t xml:space="preserve">      metric: val_loss</w:t>
        <w:br/>
        <w:t xml:space="preserve">      mode: min</w:t>
        <w:br/>
        <w:t xml:space="preserve">    checkpoint: data/outputs/classification_best.pt</w:t>
        <w:br/>
        <w:t xml:space="preserve">  data:</w:t>
        <w:br/>
        <w:t xml:space="preserve">    dataset: oasis</w:t>
        <w:br/>
        <w:t xml:space="preserve">    split:</w:t>
        <w:br/>
        <w:t xml:space="preserve">      train: 0.7</w:t>
        <w:br/>
        <w:t xml:space="preserve">      val: 0.15</w:t>
        <w:br/>
        <w:t xml:space="preserve">      test: 0.15</w:t>
        <w:br/>
        <w:t xml:space="preserve">      stratify: true</w:t>
        <w:br/>
        <w:t xml:space="preserve">    patch_size: [96, 96, 96]</w:t>
        <w:br/>
        <w:t xml:space="preserve">    augment: true</w:t>
        <w:br/>
        <w:t xml:space="preserve">  metrics:</w:t>
        <w:br/>
        <w:t xml:space="preserve">    primary: accuracy</w:t>
        <w:br/>
        <w:t xml:space="preserve">    track: [accuracy, f1, auc, sensitivity, specificity]</w:t>
      </w:r>
    </w:p>
    <w:p>
      <w:pPr>
        <w:ind w:left="432"/>
      </w:pPr>
      <w:r>
        <w:rPr>
          <w:i/>
          <w:color w:val="555555"/>
          <w:sz w:val="16"/>
        </w:rPr>
        <w:t>[YAML]</w:t>
      </w:r>
    </w:p>
    <w:p>
      <w:pPr>
        <w:pStyle w:val="Heading2"/>
      </w:pPr>
      <w:r>
        <w:rPr>
          <w:color w:val="1F4E79"/>
        </w:rPr>
        <w:t>C.3 Segmentation Configuration (configs/segmentation.yaml)</w:t>
      </w:r>
    </w:p>
    <w:p>
      <w:pPr>
        <w:spacing w:before="80" w:after="80"/>
        <w:ind w:left="432"/>
      </w:pPr>
      <w:r>
        <w:rPr>
          <w:rFonts w:ascii="Courier New" w:hAnsi="Courier New"/>
          <w:color w:val="202020"/>
          <w:sz w:val="18"/>
        </w:rPr>
        <w:t>segmentation:</w:t>
        <w:br/>
        <w:t xml:space="preserve">  sam:</w:t>
        <w:br/>
        <w:t xml:space="preserve">    model_type: vit_b</w:t>
        <w:br/>
        <w:t xml:space="preserve">    checkpoint: null</w:t>
        <w:br/>
        <w:t xml:space="preserve">  inference:</w:t>
        <w:br/>
        <w:t xml:space="preserve">    slice_axis: 2</w:t>
        <w:br/>
        <w:t xml:space="preserve">    multimask_output: true</w:t>
        <w:br/>
        <w:t xml:space="preserve">    mask_threshold: 0.5</w:t>
        <w:br/>
        <w:t xml:space="preserve">    label_assignment:</w:t>
        <w:br/>
        <w:t xml:space="preserve">      classes: [background, gray_matter, white_matter, csf, lesion]</w:t>
        <w:br/>
        <w:t xml:space="preserve">      strategy: intensity_ranking</w:t>
        <w:br/>
        <w:t xml:space="preserve">  prompts:</w:t>
        <w:br/>
        <w:t xml:space="preserve">    auto: true</w:t>
        <w:br/>
        <w:t xml:space="preserve">    strategy: grid</w:t>
        <w:br/>
        <w:t xml:space="preserve">    grid_spacing: 64</w:t>
        <w:br/>
        <w:t xml:space="preserve">    max_points: 12</w:t>
        <w:br/>
        <w:t xml:space="preserve">    use_bbox: true</w:t>
        <w:br/>
        <w:t xml:space="preserve">    bbox_from: intensity</w:t>
        <w:br/>
        <w:t xml:space="preserve">  tta:</w:t>
        <w:br/>
        <w:t xml:space="preserve">    enabled: false</w:t>
        <w:br/>
        <w:t xml:space="preserve">    steps: 3</w:t>
        <w:br/>
        <w:t xml:space="preserve">    lr: 1.0e-5</w:t>
        <w:br/>
        <w:t xml:space="preserve">    ema_decay: 0.999</w:t>
        <w:br/>
        <w:t xml:space="preserve">    signals: [entropy, iou_uncertainty, dual_scale_consistency]</w:t>
        <w:br/>
        <w:t xml:space="preserve">    adapt_params: [iou_token]</w:t>
        <w:br/>
        <w:t xml:space="preserve">  postprocess:</w:t>
        <w:br/>
        <w:t xml:space="preserve">    largest_cc: true</w:t>
        <w:br/>
        <w:t xml:space="preserve">    fill_holes: true</w:t>
        <w:br/>
        <w:t xml:space="preserve">    smoothing_sigma: 1.0</w:t>
        <w:br/>
        <w:t xml:space="preserve">    min_voxel_count: 50</w:t>
      </w:r>
    </w:p>
    <w:p>
      <w:pPr>
        <w:ind w:left="432"/>
      </w:pPr>
      <w:r>
        <w:rPr>
          <w:i/>
          <w:color w:val="555555"/>
          <w:sz w:val="16"/>
        </w:rPr>
        <w:t>[YAML]</w:t>
      </w:r>
    </w:p>
    <w:p>
      <w:pPr>
        <w:pStyle w:val="Heading2"/>
      </w:pPr>
      <w:r>
        <w:rPr>
          <w:color w:val="1F4E79"/>
        </w:rPr>
        <w:t>C.4 Reconstruction Configuration (configs/reconstruction.yaml)</w:t>
      </w:r>
    </w:p>
    <w:p>
      <w:pPr>
        <w:spacing w:before="80" w:after="80"/>
        <w:ind w:left="432"/>
      </w:pPr>
      <w:r>
        <w:rPr>
          <w:rFonts w:ascii="Courier New" w:hAnsi="Courier New"/>
          <w:color w:val="202020"/>
          <w:sz w:val="18"/>
        </w:rPr>
        <w:t>reconstruction:</w:t>
        <w:br/>
        <w:t xml:space="preserve">  stacking:</w:t>
        <w:br/>
        <w:t xml:space="preserve">    spacing: [1.0, 1.0, 1.0]</w:t>
        <w:br/>
        <w:t xml:space="preserve">    interpolation: linear</w:t>
        <w:br/>
        <w:t xml:space="preserve">    fill_gaps: true</w:t>
        <w:br/>
        <w:t xml:space="preserve">    gap_method: morphological</w:t>
        <w:br/>
        <w:t xml:space="preserve">  marching:</w:t>
        <w:br/>
        <w:t xml:space="preserve">    method: marching_cubes</w:t>
        <w:br/>
        <w:t xml:space="preserve">    level: 0.5</w:t>
        <w:br/>
        <w:t xml:space="preserve">    step_size: 1</w:t>
        <w:br/>
        <w:t xml:space="preserve">    smoothing:</w:t>
        <w:br/>
        <w:t xml:space="preserve">      enabled: true</w:t>
        <w:br/>
        <w:t xml:space="preserve">      iterations: 3</w:t>
        <w:br/>
        <w:t xml:space="preserve">      lambda: 0.5</w:t>
        <w:br/>
        <w:t xml:space="preserve">    per_label: true</w:t>
        <w:br/>
        <w:t xml:space="preserve">  metrics:</w:t>
        <w:br/>
        <w:t xml:space="preserve">    compute: true</w:t>
        <w:br/>
        <w:t xml:space="preserve">    labels_of_interest: [gray_matter, white_matter, csf, lesion]</w:t>
        <w:br/>
        <w:t xml:space="preserve">    reference_region: white_matter</w:t>
        <w:br/>
        <w:t xml:space="preserve">  visualize:</w:t>
        <w:br/>
        <w:t xml:space="preserve">    engine: plotly</w:t>
        <w:br/>
        <w:t xml:space="preserve">    save_html: true</w:t>
        <w:br/>
        <w:t xml:space="preserve">    save_png: false</w:t>
        <w:br/>
        <w:t xml:space="preserve">    cross_sections: true</w:t>
      </w:r>
    </w:p>
    <w:p>
      <w:pPr>
        <w:ind w:left="432"/>
      </w:pPr>
      <w:r>
        <w:rPr>
          <w:i/>
          <w:color w:val="555555"/>
          <w:sz w:val="16"/>
        </w:rPr>
        <w:t>[YAML]</w:t>
      </w:r>
    </w:p>
    <w:p>
      <w:pPr>
        <w:pStyle w:val="Heading2"/>
      </w:pPr>
      <w:r>
        <w:rPr>
          <w:color w:val="1F4E79"/>
        </w:rPr>
        <w:t>C.5 Evaluation Configuration (configs/evaluation.yaml)</w:t>
      </w:r>
    </w:p>
    <w:p>
      <w:pPr>
        <w:spacing w:before="80" w:after="80"/>
        <w:ind w:left="432"/>
      </w:pPr>
      <w:r>
        <w:rPr>
          <w:rFonts w:ascii="Courier New" w:hAnsi="Courier New"/>
          <w:color w:val="202020"/>
          <w:sz w:val="18"/>
        </w:rPr>
        <w:t>evaluation:</w:t>
        <w:br/>
        <w:t xml:space="preserve">  lesion_analysis:</w:t>
        <w:br/>
        <w:t xml:space="preserve">    detect: true</w:t>
        <w:br/>
        <w:t xml:space="preserve">    lesion_label: lesion</w:t>
        <w:br/>
        <w:t xml:space="preserve">    min_volume_mm3: 50</w:t>
        <w:br/>
        <w:t xml:space="preserve">    adjacency_structures: [white_matter, gray_matter, csf]</w:t>
        <w:br/>
        <w:t xml:space="preserve">  therapy:</w:t>
        <w:br/>
        <w:t xml:space="preserve">    target_label: lesion</w:t>
        <w:br/>
        <w:t xml:space="preserve">    target_mode: largest_region</w:t>
        <w:br/>
        <w:t xml:space="preserve">    radius_mm: 30.0</w:t>
        <w:br/>
        <w:t xml:space="preserve">    dose: 1.0</w:t>
        <w:br/>
        <w:t xml:space="preserve">    mode: lesion_reversal</w:t>
        <w:br/>
        <w:t xml:space="preserve">    kernel: gaussian</w:t>
        <w:br/>
        <w:t xml:space="preserve">    sigma_mm: 12.0</w:t>
        <w:br/>
        <w:t xml:space="preserve">  simulator:</w:t>
        <w:br/>
        <w:t xml:space="preserve">    propagation_steps: 10</w:t>
        <w:br/>
        <w:t xml:space="preserve">    diffusion_rate: 0.15</w:t>
        <w:br/>
        <w:t xml:space="preserve">    region_graph_k: 6</w:t>
        <w:br/>
        <w:t xml:space="preserve">  compatibility:</w:t>
        <w:br/>
        <w:t xml:space="preserve">    coverage_weight: 0.5</w:t>
        <w:br/>
        <w:t xml:space="preserve">    risk_weight: 0.3</w:t>
        <w:br/>
        <w:t xml:space="preserve">    recovery_weight: 0.2</w:t>
        <w:br/>
        <w:t xml:space="preserve">    risk_threshold_mm: 5.0</w:t>
        <w:br/>
        <w:t xml:space="preserve">  report:</w:t>
        <w:br/>
        <w:t xml:space="preserve">    format: [json, html]</w:t>
        <w:br/>
        <w:t xml:space="preserve">    output_dir: data/outputs/evaluation</w:t>
        <w:br/>
        <w:t xml:space="preserve">    figures: [before_after_3d, metric_bar, lesion_map]</w:t>
      </w:r>
    </w:p>
    <w:p>
      <w:pPr>
        <w:ind w:left="432"/>
      </w:pPr>
      <w:r>
        <w:rPr>
          <w:i/>
          <w:color w:val="555555"/>
          <w:sz w:val="16"/>
        </w:rPr>
        <w:t>[YAML]</w:t>
      </w:r>
    </w:p>
    <w:p>
      <w:r>
        <w:br w:type="page"/>
      </w:r>
    </w:p>
    <w:p>
      <w:pPr>
        <w:pStyle w:val="Heading1"/>
      </w:pPr>
      <w:r>
        <w:rPr>
          <w:color w:val="1F4E79"/>
        </w:rPr>
        <w:t>Appendix D: Test Coverage Summary</w:t>
      </w:r>
    </w:p>
    <w:p>
      <w:pPr>
        <w:spacing w:after="160" w:line="276" w:lineRule="auto"/>
      </w:pPr>
      <w:r>
        <w:rPr>
          <w:sz w:val="22"/>
        </w:rPr>
        <w:t>The test suite comprises 134 tests across all pipeline modules, all passing (verified: '134 passed in 46.52s'). Tests are organised by module and cover the core functionality of each pipeline stage, as well as edge cases and error handling. The test infrastructure uses pytest as the test runner, with a mock segmenter for CI environments where SAM weights are not available.</w:t>
      </w:r>
    </w:p>
    <w:tbl>
      <w:tblPr>
        <w:tblStyle w:val="TableGrid"/>
        <w:tblW w:type="auto" w:w="0"/>
        <w:tblLook w:firstColumn="1" w:firstRow="1" w:lastColumn="0" w:lastRow="0" w:noHBand="0" w:noVBand="1" w:val="04A0"/>
      </w:tblPr>
      <w:tblGrid>
        <w:gridCol w:w="2880"/>
        <w:gridCol w:w="2880"/>
        <w:gridCol w:w="2880"/>
      </w:tblGrid>
      <w:tr>
        <w:tc>
          <w:tcPr>
            <w:tcW w:type="dxa" w:w="2160"/>
            <w:shd w:fill="1F4E79" w:val="clear"/>
          </w:tcPr>
          <w:p>
            <w:pPr>
              <w:jc w:val="center"/>
            </w:pPr>
            <w:r>
              <w:rPr>
                <w:b/>
                <w:color w:val="FFFFFF"/>
                <w:sz w:val="20"/>
              </w:rPr>
              <w:t>Test Module</w:t>
            </w:r>
          </w:p>
        </w:tc>
        <w:tc>
          <w:tcPr>
            <w:tcW w:type="dxa" w:w="1440"/>
            <w:shd w:fill="1F4E79" w:val="clear"/>
          </w:tcPr>
          <w:p>
            <w:pPr>
              <w:jc w:val="center"/>
            </w:pPr>
            <w:r>
              <w:rPr>
                <w:b/>
                <w:color w:val="FFFFFF"/>
                <w:sz w:val="20"/>
              </w:rPr>
              <w:t>Tests (approx.)</w:t>
            </w:r>
          </w:p>
        </w:tc>
        <w:tc>
          <w:tcPr>
            <w:tcW w:type="dxa" w:w="5760"/>
            <w:shd w:fill="1F4E79" w:val="clear"/>
          </w:tcPr>
          <w:p>
            <w:pPr>
              <w:jc w:val="center"/>
            </w:pPr>
            <w:r>
              <w:rPr>
                <w:b/>
                <w:color w:val="FFFFFF"/>
                <w:sz w:val="20"/>
              </w:rPr>
              <w:t>Coverage Area</w:t>
            </w:r>
          </w:p>
        </w:tc>
      </w:tr>
      <w:tr>
        <w:tc>
          <w:tcPr>
            <w:tcW w:type="dxa" w:w="2160"/>
          </w:tcPr>
          <w:p>
            <w:r>
              <w:rPr>
                <w:sz w:val="20"/>
              </w:rPr>
              <w:t>Segmentation</w:t>
            </w:r>
          </w:p>
        </w:tc>
        <w:tc>
          <w:tcPr>
            <w:tcW w:type="dxa" w:w="1440"/>
          </w:tcPr>
          <w:p>
            <w:r>
              <w:rPr>
                <w:sz w:val="20"/>
              </w:rPr>
              <w:t>~25</w:t>
            </w:r>
          </w:p>
        </w:tc>
        <w:tc>
          <w:tcPr>
            <w:tcW w:type="dxa" w:w="5760"/>
          </w:tcPr>
          <w:p>
            <w:r>
              <w:rPr>
                <w:sz w:val="20"/>
              </w:rPr>
              <w:t>SAM prompting, label assignment, TTA, postprocessing</w:t>
            </w:r>
          </w:p>
        </w:tc>
      </w:tr>
      <w:tr>
        <w:tc>
          <w:tcPr>
            <w:tcW w:type="dxa" w:w="2160"/>
          </w:tcPr>
          <w:p>
            <w:r>
              <w:rPr>
                <w:sz w:val="20"/>
              </w:rPr>
              <w:t>Reconstruction</w:t>
            </w:r>
          </w:p>
        </w:tc>
        <w:tc>
          <w:tcPr>
            <w:tcW w:type="dxa" w:w="1440"/>
          </w:tcPr>
          <w:p>
            <w:r>
              <w:rPr>
                <w:sz w:val="20"/>
              </w:rPr>
              <w:t>~30</w:t>
            </w:r>
          </w:p>
        </w:tc>
        <w:tc>
          <w:tcPr>
            <w:tcW w:type="dxa" w:w="5760"/>
          </w:tcPr>
          <w:p>
            <w:r>
              <w:rPr>
                <w:sz w:val="20"/>
              </w:rPr>
              <w:t>Slice stacking, Marching Cubes, mesh metrics, visualization</w:t>
            </w:r>
          </w:p>
        </w:tc>
      </w:tr>
      <w:tr>
        <w:tc>
          <w:tcPr>
            <w:tcW w:type="dxa" w:w="2160"/>
          </w:tcPr>
          <w:p>
            <w:r>
              <w:rPr>
                <w:sz w:val="20"/>
              </w:rPr>
              <w:t>Classification</w:t>
            </w:r>
          </w:p>
        </w:tc>
        <w:tc>
          <w:tcPr>
            <w:tcW w:type="dxa" w:w="1440"/>
          </w:tcPr>
          <w:p>
            <w:r>
              <w:rPr>
                <w:sz w:val="20"/>
              </w:rPr>
              <w:t>~20</w:t>
            </w:r>
          </w:p>
        </w:tc>
        <w:tc>
          <w:tcPr>
            <w:tcW w:type="dxa" w:w="5760"/>
          </w:tcPr>
          <w:p>
            <w:r>
              <w:rPr>
                <w:sz w:val="20"/>
              </w:rPr>
              <w:t>Model architecture, training, prediction, evidence engine</w:t>
            </w:r>
          </w:p>
        </w:tc>
      </w:tr>
      <w:tr>
        <w:tc>
          <w:tcPr>
            <w:tcW w:type="dxa" w:w="2160"/>
          </w:tcPr>
          <w:p>
            <w:r>
              <w:rPr>
                <w:sz w:val="20"/>
              </w:rPr>
              <w:t>Evaluation</w:t>
            </w:r>
          </w:p>
        </w:tc>
        <w:tc>
          <w:tcPr>
            <w:tcW w:type="dxa" w:w="1440"/>
          </w:tcPr>
          <w:p>
            <w:r>
              <w:rPr>
                <w:sz w:val="20"/>
              </w:rPr>
              <w:t>~25</w:t>
            </w:r>
          </w:p>
        </w:tc>
        <w:tc>
          <w:tcPr>
            <w:tcW w:type="dxa" w:w="5760"/>
          </w:tcPr>
          <w:p>
            <w:r>
              <w:rPr>
                <w:sz w:val="20"/>
              </w:rPr>
              <w:t>Lesion analysis, therapy simulation, compatibility scoring</w:t>
            </w:r>
          </w:p>
        </w:tc>
      </w:tr>
      <w:tr>
        <w:tc>
          <w:tcPr>
            <w:tcW w:type="dxa" w:w="2160"/>
          </w:tcPr>
          <w:p>
            <w:r>
              <w:rPr>
                <w:sz w:val="20"/>
              </w:rPr>
              <w:t>Configuration</w:t>
            </w:r>
          </w:p>
        </w:tc>
        <w:tc>
          <w:tcPr>
            <w:tcW w:type="dxa" w:w="1440"/>
          </w:tcPr>
          <w:p>
            <w:r>
              <w:rPr>
                <w:sz w:val="20"/>
              </w:rPr>
              <w:t>~15</w:t>
            </w:r>
          </w:p>
        </w:tc>
        <w:tc>
          <w:tcPr>
            <w:tcW w:type="dxa" w:w="5760"/>
          </w:tcPr>
          <w:p>
            <w:r>
              <w:rPr>
                <w:sz w:val="20"/>
              </w:rPr>
              <w:t>YAML loading, validation, hierarchical merging</w:t>
            </w:r>
          </w:p>
        </w:tc>
      </w:tr>
      <w:tr>
        <w:tc>
          <w:tcPr>
            <w:tcW w:type="dxa" w:w="2160"/>
          </w:tcPr>
          <w:p>
            <w:r>
              <w:rPr>
                <w:sz w:val="20"/>
              </w:rPr>
              <w:t>Data</w:t>
            </w:r>
          </w:p>
        </w:tc>
        <w:tc>
          <w:tcPr>
            <w:tcW w:type="dxa" w:w="1440"/>
          </w:tcPr>
          <w:p>
            <w:r>
              <w:rPr>
                <w:sz w:val="20"/>
              </w:rPr>
              <w:t>~19</w:t>
            </w:r>
          </w:p>
        </w:tc>
        <w:tc>
          <w:tcPr>
            <w:tcW w:type="dxa" w:w="5760"/>
          </w:tcPr>
          <w:p>
            <w:r>
              <w:rPr>
                <w:sz w:val="20"/>
              </w:rPr>
              <w:t>MRI loading, real brain assets, atlas handling</w:t>
            </w:r>
          </w:p>
        </w:tc>
      </w:tr>
    </w:tbl>
    <w:p>
      <w:pPr>
        <w:spacing w:after="160" w:line="276" w:lineRule="auto"/>
      </w:pPr>
      <w:r>
        <w:rPr>
          <w:sz w:val="22"/>
        </w:rPr>
        <w:t>Test execution: pytest tests/ --tb=no → 134 passed in 46.52s. The test suite is designed to run without SAM weights (using a mock segmenter) and without GPU hardware, ensuring that tests can be executed in any CI environment.</w:t>
      </w:r>
    </w:p>
    <w:p>
      <w:r>
        <w:br w:type="page"/>
      </w:r>
    </w:p>
    <w:p>
      <w:pPr>
        <w:pStyle w:val="Heading1"/>
      </w:pPr>
      <w:r>
        <w:rPr>
          <w:color w:val="1F4E79"/>
        </w:rPr>
        <w:t>Appendix E: File Structure Reference</w:t>
      </w:r>
    </w:p>
    <w:p>
      <w:pPr>
        <w:spacing w:before="80" w:after="80"/>
        <w:ind w:left="432"/>
      </w:pPr>
      <w:r>
        <w:rPr>
          <w:rFonts w:ascii="Courier New" w:hAnsi="Courier New"/>
          <w:color w:val="202020"/>
          <w:sz w:val="18"/>
        </w:rPr>
        <w:t>brain-diseases-calssification/</w:t>
        <w:br/>
        <w:t>├── brainframe/                        # Core pipeline library</w:t>
        <w:br/>
        <w:t>│   ├── __init__.py</w:t>
        <w:br/>
        <w:t>│   ├── config.py                      # YAML config loading &amp; validation</w:t>
        <w:br/>
        <w:t>│   ├── session.py                     # Pipeline session management</w:t>
        <w:br/>
        <w:t>│   ├── cli.py                         # Command-line interface</w:t>
        <w:br/>
        <w:t>│   ├── classification/</w:t>
        <w:br/>
        <w:t>│   │   ├── trained_model.py           # Ensemble MLP with self-attention</w:t>
        <w:br/>
        <w:t>│   │   ├── diseases.py                # 36-disease taxonomy with references</w:t>
        <w:br/>
        <w:t>│   │   ├── evidence.py                # Feature attribution engine</w:t>
        <w:br/>
        <w:t>│   │   ├── features.py                # 43-feature extraction</w:t>
        <w:br/>
        <w:t>│   │   └── stats.py                   # Statistical evaluation (8 metric families)</w:t>
        <w:br/>
        <w:t>│   ├── segmentation/</w:t>
        <w:br/>
        <w:t>│   │   ├── sam_wrapper.py             # SAM ViT-B wrapper + heuristic fallback</w:t>
        <w:br/>
        <w:t>│   │   ├── prompts.py                 # Grid, intensity-peak, gradient-bbox prompting</w:t>
        <w:br/>
        <w:t>│   │   ├── inference.py               # Slice-wise segmentation + label assignment</w:t>
        <w:br/>
        <w:t>│   │   ├── tta.py                     # Test-time adaptation (entropy, IoU, dual-scale)</w:t>
        <w:br/>
        <w:t>│   │   └── postprocess.py             # CC analysis, hole filling, smoothing</w:t>
        <w:br/>
        <w:t>│   ├── reconstruction/</w:t>
        <w:br/>
        <w:t>│   │   ├── stacking.py                # 2D→3D slice stacking + gap filling</w:t>
        <w:br/>
        <w:t>│   │   ├── marching.py                # Marching Cubes + Laplacian smoothing</w:t>
        <w:br/>
        <w:t>│   │   ├── mesh_metrics.py            # Volume, surface area, compactness, atrophy</w:t>
        <w:br/>
        <w:t>│   │   └── visualize.py               # Plotly 3D HTML + cross-sections</w:t>
        <w:br/>
        <w:t>│   ├── evaluation/</w:t>
        <w:br/>
        <w:t>│   │   ├── lesion_analysis.py         # Connected components, centroid, adjacency</w:t>
        <w:br/>
        <w:t>│   │   ├── therapy_model.py           # Therapy specification dataclass</w:t>
        <w:br/>
        <w:t>│   │   ├── simulator.py               # Gaussian kernel + diffusion propagation</w:t>
        <w:br/>
        <w:t>│   │   ├── compatibility.py           # Coverage/risk/recovery scoring</w:t>
        <w:br/>
        <w:t>│   │   └── report.py                  # JSON/HTML report generation</w:t>
        <w:br/>
        <w:t>│   ├── data/</w:t>
        <w:br/>
        <w:t>│   │   ├── real_brain.py              # ICBM152 + fsaverage + Harvard-Oxford loader</w:t>
        <w:br/>
        <w:t>│   │   └── io.py                      # NIfTI/DICOM file I/O</w:t>
        <w:br/>
        <w:t>│   └── utils/</w:t>
        <w:br/>
        <w:t>│       └── logging.py                 # Loguru structured logging</w:t>
        <w:br/>
        <w:t>├── neurocure_app/                     # Streamlit web application</w:t>
        <w:br/>
        <w:t>│   ├── app.py                         # Main entry point (home page)</w:t>
        <w:br/>
        <w:t>│   ├── state.py                       # Session state management</w:t>
        <w:br/>
        <w:t>│   ├── components/</w:t>
        <w:br/>
        <w:t>│   │   ├── viewer3d.py                # Plotly 3D viewer component</w:t>
        <w:br/>
        <w:t>│   │   ├── three_viewer.py            # Three.js WebGL viewer component</w:t>
        <w:br/>
        <w:t>│   │   └── charts.py                  # Metrics &amp; chart components</w:t>
        <w:br/>
        <w:t>│   └── pages/</w:t>
        <w:br/>
        <w:t>│       ├── 1_Upload.py                # Upload / demo brain page</w:t>
        <w:br/>
        <w:t>│       ├── 2_3D_Brain.py              # 3D reconstruction viewer</w:t>
        <w:br/>
        <w:t>│       ├── 3_Predict.py               # Disease prediction</w:t>
        <w:br/>
        <w:t>│       ├── 4_Therapy.py               # Therapy recommendation</w:t>
        <w:br/>
        <w:t>│       ├── 5_Simulate.py              # Live cure simulation</w:t>
        <w:br/>
        <w:t>│       ├── 6_Report.py                # Report download</w:t>
        <w:br/>
        <w:t>│       └── 7_Model_Evaluation.py      # Statistical evaluation dashboard</w:t>
        <w:br/>
        <w:t>├── assets/                            # Bundled data assets</w:t>
        <w:br/>
        <w:t>│   ├── demo_brain.nii.gz              # ICBM152 template with synthetic lesion</w:t>
        <w:br/>
        <w:t>│   ├── models/</w:t>
        <w:br/>
        <w:t>│   │   └── disease_mlp.pt             # Pre-trained disease classifier weights</w:t>
        <w:br/>
        <w:t>│   └── real_brain/                    # ICBM152 + atlas data</w:t>
        <w:br/>
        <w:t>├── configs/                           # YAML configuration files</w:t>
        <w:br/>
        <w:t>│   ├── default.yaml                   # Master config</w:t>
        <w:br/>
        <w:t>│   ├── classification.yaml            # Classifier hyperparameters</w:t>
        <w:br/>
        <w:t>│   ├── segmentation.yaml              # SAM &amp; TTA settings</w:t>
        <w:br/>
        <w:t>│   ├── reconstruction.yaml            # Mesh extraction settings</w:t>
        <w:br/>
        <w:t>│   └── evaluation.yaml                # Therapy simulation settings</w:t>
        <w:br/>
        <w:t>├── tests/                             # Test suite (134 tests)</w:t>
        <w:br/>
        <w:t>├── scripts/</w:t>
        <w:br/>
        <w:t>│   └── train_disease_classifier.py    # Training script (ensemble + mixup)</w:t>
        <w:br/>
        <w:t>├── requirements.txt                   # CPU-only deployment dependencies</w:t>
        <w:br/>
        <w:t>├── pyproject.toml                     # Package metadata &amp; dependencies</w:t>
        <w:br/>
        <w:t>├── .streamlit/config.toml             # Streamlit server configuration</w:t>
        <w:br/>
        <w:t>├── Procfile                           # Heroku/Render process definition</w:t>
        <w:br/>
        <w:t>├── render.yaml                        # Render deployment configuration</w:t>
        <w:br/>
        <w:t>└── .python-version                    # Python version for cloud platforms</w:t>
      </w:r>
    </w:p>
    <w:p>
      <w:pPr>
        <w:ind w:left="432"/>
      </w:pPr>
      <w:r>
        <w:rPr>
          <w:i/>
          <w:color w:val="555555"/>
          <w:sz w:val="16"/>
        </w:rPr>
        <w:t>[Directory Tree]</w:t>
      </w:r>
    </w:p>
    <w:p>
      <w:r>
        <w:br w:type="page"/>
      </w:r>
    </w:p>
    <w:p>
      <w:pPr>
        <w:pStyle w:val="Heading1"/>
      </w:pPr>
      <w:r>
        <w:rPr>
          <w:color w:val="1F4E79"/>
        </w:rPr>
        <w:t>Appendix F: Dependency List</w:t>
      </w:r>
    </w:p>
    <w:p>
      <w:pPr>
        <w:pStyle w:val="Heading2"/>
      </w:pPr>
      <w:r>
        <w:rPr>
          <w:color w:val="1F4E79"/>
        </w:rPr>
        <w:t>F.1 Core Dependencies</w:t>
      </w:r>
    </w:p>
    <w:tbl>
      <w:tblPr>
        <w:tblStyle w:val="TableGrid"/>
        <w:tblW w:type="auto" w:w="0"/>
        <w:tblLook w:firstColumn="1" w:firstRow="1" w:lastColumn="0" w:lastRow="0" w:noHBand="0" w:noVBand="1" w:val="04A0"/>
      </w:tblPr>
      <w:tblGrid>
        <w:gridCol w:w="2880"/>
        <w:gridCol w:w="2880"/>
        <w:gridCol w:w="2880"/>
      </w:tblGrid>
      <w:tr>
        <w:tc>
          <w:tcPr>
            <w:tcW w:type="dxa" w:w="2160"/>
            <w:shd w:fill="1F4E79" w:val="clear"/>
          </w:tcPr>
          <w:p>
            <w:pPr>
              <w:jc w:val="center"/>
            </w:pPr>
            <w:r>
              <w:rPr>
                <w:b/>
                <w:color w:val="FFFFFF"/>
                <w:sz w:val="20"/>
              </w:rPr>
              <w:t>Package</w:t>
            </w:r>
          </w:p>
        </w:tc>
        <w:tc>
          <w:tcPr>
            <w:tcW w:type="dxa" w:w="1440"/>
            <w:shd w:fill="1F4E79" w:val="clear"/>
          </w:tcPr>
          <w:p>
            <w:pPr>
              <w:jc w:val="center"/>
            </w:pPr>
            <w:r>
              <w:rPr>
                <w:b/>
                <w:color w:val="FFFFFF"/>
                <w:sz w:val="20"/>
              </w:rPr>
              <w:t>Version</w:t>
            </w:r>
          </w:p>
        </w:tc>
        <w:tc>
          <w:tcPr>
            <w:tcW w:type="dxa" w:w="5040"/>
            <w:shd w:fill="1F4E79" w:val="clear"/>
          </w:tcPr>
          <w:p>
            <w:pPr>
              <w:jc w:val="center"/>
            </w:pPr>
            <w:r>
              <w:rPr>
                <w:b/>
                <w:color w:val="FFFFFF"/>
                <w:sz w:val="20"/>
              </w:rPr>
              <w:t>Purpose</w:t>
            </w:r>
          </w:p>
        </w:tc>
      </w:tr>
      <w:tr>
        <w:tc>
          <w:tcPr>
            <w:tcW w:type="dxa" w:w="2160"/>
          </w:tcPr>
          <w:p>
            <w:r>
              <w:rPr>
                <w:sz w:val="20"/>
              </w:rPr>
              <w:t>torch</w:t>
            </w:r>
          </w:p>
        </w:tc>
        <w:tc>
          <w:tcPr>
            <w:tcW w:type="dxa" w:w="1440"/>
          </w:tcPr>
          <w:p>
            <w:r>
              <w:rPr>
                <w:sz w:val="20"/>
              </w:rPr>
              <w:t>CPU-only</w:t>
            </w:r>
          </w:p>
        </w:tc>
        <w:tc>
          <w:tcPr>
            <w:tcW w:type="dxa" w:w="5040"/>
          </w:tcPr>
          <w:p>
            <w:r>
              <w:rPr>
                <w:sz w:val="20"/>
              </w:rPr>
              <w:t>Deep learning (segmentation + classification)</w:t>
            </w:r>
          </w:p>
        </w:tc>
      </w:tr>
      <w:tr>
        <w:tc>
          <w:tcPr>
            <w:tcW w:type="dxa" w:w="2160"/>
          </w:tcPr>
          <w:p>
            <w:r>
              <w:rPr>
                <w:sz w:val="20"/>
              </w:rPr>
              <w:t>streamlit</w:t>
            </w:r>
          </w:p>
        </w:tc>
        <w:tc>
          <w:tcPr>
            <w:tcW w:type="dxa" w:w="1440"/>
          </w:tcPr>
          <w:p>
            <w:r>
              <w:rPr>
                <w:sz w:val="20"/>
              </w:rPr>
              <w:t>≥ 1.30</w:t>
            </w:r>
          </w:p>
        </w:tc>
        <w:tc>
          <w:tcPr>
            <w:tcW w:type="dxa" w:w="5040"/>
          </w:tcPr>
          <w:p>
            <w:r>
              <w:rPr>
                <w:sz w:val="20"/>
              </w:rPr>
              <w:t>Web application framework</w:t>
            </w:r>
          </w:p>
        </w:tc>
      </w:tr>
      <w:tr>
        <w:tc>
          <w:tcPr>
            <w:tcW w:type="dxa" w:w="2160"/>
          </w:tcPr>
          <w:p>
            <w:r>
              <w:rPr>
                <w:sz w:val="20"/>
              </w:rPr>
              <w:t>numpy</w:t>
            </w:r>
          </w:p>
        </w:tc>
        <w:tc>
          <w:tcPr>
            <w:tcW w:type="dxa" w:w="1440"/>
          </w:tcPr>
          <w:p>
            <w:r>
              <w:rPr>
                <w:sz w:val="20"/>
              </w:rPr>
              <w:t>—</w:t>
            </w:r>
          </w:p>
        </w:tc>
        <w:tc>
          <w:tcPr>
            <w:tcW w:type="dxa" w:w="5040"/>
          </w:tcPr>
          <w:p>
            <w:r>
              <w:rPr>
                <w:sz w:val="20"/>
              </w:rPr>
              <w:t>Numerical computing</w:t>
            </w:r>
          </w:p>
        </w:tc>
      </w:tr>
      <w:tr>
        <w:tc>
          <w:tcPr>
            <w:tcW w:type="dxa" w:w="2160"/>
          </w:tcPr>
          <w:p>
            <w:r>
              <w:rPr>
                <w:sz w:val="20"/>
              </w:rPr>
              <w:t>scipy</w:t>
            </w:r>
          </w:p>
        </w:tc>
        <w:tc>
          <w:tcPr>
            <w:tcW w:type="dxa" w:w="1440"/>
          </w:tcPr>
          <w:p>
            <w:r>
              <w:rPr>
                <w:sz w:val="20"/>
              </w:rPr>
              <w:t>—</w:t>
            </w:r>
          </w:p>
        </w:tc>
        <w:tc>
          <w:tcPr>
            <w:tcW w:type="dxa" w:w="5040"/>
          </w:tcPr>
          <w:p>
            <w:r>
              <w:rPr>
                <w:sz w:val="20"/>
              </w:rPr>
              <w:t>Gaussian filter, statistical tests</w:t>
            </w:r>
          </w:p>
        </w:tc>
      </w:tr>
      <w:tr>
        <w:tc>
          <w:tcPr>
            <w:tcW w:type="dxa" w:w="2160"/>
          </w:tcPr>
          <w:p>
            <w:r>
              <w:rPr>
                <w:sz w:val="20"/>
              </w:rPr>
              <w:t>scikit-image</w:t>
            </w:r>
          </w:p>
        </w:tc>
        <w:tc>
          <w:tcPr>
            <w:tcW w:type="dxa" w:w="1440"/>
          </w:tcPr>
          <w:p>
            <w:r>
              <w:rPr>
                <w:sz w:val="20"/>
              </w:rPr>
              <w:t>—</w:t>
            </w:r>
          </w:p>
        </w:tc>
        <w:tc>
          <w:tcPr>
            <w:tcW w:type="dxa" w:w="5040"/>
          </w:tcPr>
          <w:p>
            <w:r>
              <w:rPr>
                <w:sz w:val="20"/>
              </w:rPr>
              <w:t>Marching Cubes, connected components</w:t>
            </w:r>
          </w:p>
        </w:tc>
      </w:tr>
      <w:tr>
        <w:tc>
          <w:tcPr>
            <w:tcW w:type="dxa" w:w="2160"/>
          </w:tcPr>
          <w:p>
            <w:r>
              <w:rPr>
                <w:sz w:val="20"/>
              </w:rPr>
              <w:t>scikit-learn</w:t>
            </w:r>
          </w:p>
        </w:tc>
        <w:tc>
          <w:tcPr>
            <w:tcW w:type="dxa" w:w="1440"/>
          </w:tcPr>
          <w:p>
            <w:r>
              <w:rPr>
                <w:sz w:val="20"/>
              </w:rPr>
              <w:t>—</w:t>
            </w:r>
          </w:p>
        </w:tc>
        <w:tc>
          <w:tcPr>
            <w:tcW w:type="dxa" w:w="5040"/>
          </w:tcPr>
          <w:p>
            <w:r>
              <w:rPr>
                <w:sz w:val="20"/>
              </w:rPr>
              <w:t>ROC, precision-recall, calibration</w:t>
            </w:r>
          </w:p>
        </w:tc>
      </w:tr>
      <w:tr>
        <w:tc>
          <w:tcPr>
            <w:tcW w:type="dxa" w:w="2160"/>
          </w:tcPr>
          <w:p>
            <w:r>
              <w:rPr>
                <w:sz w:val="20"/>
              </w:rPr>
              <w:t>nibabel</w:t>
            </w:r>
          </w:p>
        </w:tc>
        <w:tc>
          <w:tcPr>
            <w:tcW w:type="dxa" w:w="1440"/>
          </w:tcPr>
          <w:p>
            <w:r>
              <w:rPr>
                <w:sz w:val="20"/>
              </w:rPr>
              <w:t>—</w:t>
            </w:r>
          </w:p>
        </w:tc>
        <w:tc>
          <w:tcPr>
            <w:tcW w:type="dxa" w:w="5040"/>
          </w:tcPr>
          <w:p>
            <w:r>
              <w:rPr>
                <w:sz w:val="20"/>
              </w:rPr>
              <w:t>NIfTI file I/O</w:t>
            </w:r>
          </w:p>
        </w:tc>
      </w:tr>
      <w:tr>
        <w:tc>
          <w:tcPr>
            <w:tcW w:type="dxa" w:w="2160"/>
          </w:tcPr>
          <w:p>
            <w:r>
              <w:rPr>
                <w:sz w:val="20"/>
              </w:rPr>
              <w:t>pydicom</w:t>
            </w:r>
          </w:p>
        </w:tc>
        <w:tc>
          <w:tcPr>
            <w:tcW w:type="dxa" w:w="1440"/>
          </w:tcPr>
          <w:p>
            <w:r>
              <w:rPr>
                <w:sz w:val="20"/>
              </w:rPr>
              <w:t>—</w:t>
            </w:r>
          </w:p>
        </w:tc>
        <w:tc>
          <w:tcPr>
            <w:tcW w:type="dxa" w:w="5040"/>
          </w:tcPr>
          <w:p>
            <w:r>
              <w:rPr>
                <w:sz w:val="20"/>
              </w:rPr>
              <w:t>DICOM file I/O</w:t>
            </w:r>
          </w:p>
        </w:tc>
      </w:tr>
      <w:tr>
        <w:tc>
          <w:tcPr>
            <w:tcW w:type="dxa" w:w="2160"/>
          </w:tcPr>
          <w:p>
            <w:r>
              <w:rPr>
                <w:sz w:val="20"/>
              </w:rPr>
              <w:t>plotly</w:t>
            </w:r>
          </w:p>
        </w:tc>
        <w:tc>
          <w:tcPr>
            <w:tcW w:type="dxa" w:w="1440"/>
          </w:tcPr>
          <w:p>
            <w:r>
              <w:rPr>
                <w:sz w:val="20"/>
              </w:rPr>
              <w:t>—</w:t>
            </w:r>
          </w:p>
        </w:tc>
        <w:tc>
          <w:tcPr>
            <w:tcW w:type="dxa" w:w="5040"/>
          </w:tcPr>
          <w:p>
            <w:r>
              <w:rPr>
                <w:sz w:val="20"/>
              </w:rPr>
              <w:t>Interactive 3D visualization (Plotly.js)</w:t>
            </w:r>
          </w:p>
        </w:tc>
      </w:tr>
      <w:tr>
        <w:tc>
          <w:tcPr>
            <w:tcW w:type="dxa" w:w="2160"/>
          </w:tcPr>
          <w:p>
            <w:r>
              <w:rPr>
                <w:sz w:val="20"/>
              </w:rPr>
              <w:t>pyyaml</w:t>
            </w:r>
          </w:p>
        </w:tc>
        <w:tc>
          <w:tcPr>
            <w:tcW w:type="dxa" w:w="1440"/>
          </w:tcPr>
          <w:p>
            <w:r>
              <w:rPr>
                <w:sz w:val="20"/>
              </w:rPr>
              <w:t>—</w:t>
            </w:r>
          </w:p>
        </w:tc>
        <w:tc>
          <w:tcPr>
            <w:tcW w:type="dxa" w:w="5040"/>
          </w:tcPr>
          <w:p>
            <w:r>
              <w:rPr>
                <w:sz w:val="20"/>
              </w:rPr>
              <w:t>YAML configuration parsing</w:t>
            </w:r>
          </w:p>
        </w:tc>
      </w:tr>
      <w:tr>
        <w:tc>
          <w:tcPr>
            <w:tcW w:type="dxa" w:w="2160"/>
          </w:tcPr>
          <w:p>
            <w:r>
              <w:rPr>
                <w:sz w:val="20"/>
              </w:rPr>
              <w:t>loguru</w:t>
            </w:r>
          </w:p>
        </w:tc>
        <w:tc>
          <w:tcPr>
            <w:tcW w:type="dxa" w:w="1440"/>
          </w:tcPr>
          <w:p>
            <w:r>
              <w:rPr>
                <w:sz w:val="20"/>
              </w:rPr>
              <w:t>—</w:t>
            </w:r>
          </w:p>
        </w:tc>
        <w:tc>
          <w:tcPr>
            <w:tcW w:type="dxa" w:w="5040"/>
          </w:tcPr>
          <w:p>
            <w:r>
              <w:rPr>
                <w:sz w:val="20"/>
              </w:rPr>
              <w:t>Structured logging</w:t>
            </w:r>
          </w:p>
        </w:tc>
      </w:tr>
      <w:tr>
        <w:tc>
          <w:tcPr>
            <w:tcW w:type="dxa" w:w="2160"/>
          </w:tcPr>
          <w:p>
            <w:r>
              <w:rPr>
                <w:sz w:val="20"/>
              </w:rPr>
              <w:t>trimesh</w:t>
            </w:r>
          </w:p>
        </w:tc>
        <w:tc>
          <w:tcPr>
            <w:tcW w:type="dxa" w:w="1440"/>
          </w:tcPr>
          <w:p>
            <w:r>
              <w:rPr>
                <w:sz w:val="20"/>
              </w:rPr>
              <w:t>—</w:t>
            </w:r>
          </w:p>
        </w:tc>
        <w:tc>
          <w:tcPr>
            <w:tcW w:type="dxa" w:w="5040"/>
          </w:tcPr>
          <w:p>
            <w:r>
              <w:rPr>
                <w:sz w:val="20"/>
              </w:rPr>
              <w:t>Mesh processing &amp; metrics</w:t>
            </w:r>
          </w:p>
        </w:tc>
      </w:tr>
      <w:tr>
        <w:tc>
          <w:tcPr>
            <w:tcW w:type="dxa" w:w="2160"/>
          </w:tcPr>
          <w:p>
            <w:r>
              <w:rPr>
                <w:sz w:val="20"/>
              </w:rPr>
              <w:t>pandas</w:t>
            </w:r>
          </w:p>
        </w:tc>
        <w:tc>
          <w:tcPr>
            <w:tcW w:type="dxa" w:w="1440"/>
          </w:tcPr>
          <w:p>
            <w:r>
              <w:rPr>
                <w:sz w:val="20"/>
              </w:rPr>
              <w:t>—</w:t>
            </w:r>
          </w:p>
        </w:tc>
        <w:tc>
          <w:tcPr>
            <w:tcW w:type="dxa" w:w="5040"/>
          </w:tcPr>
          <w:p>
            <w:r>
              <w:rPr>
                <w:sz w:val="20"/>
              </w:rPr>
              <w:t>Data manipulation for evaluation</w:t>
            </w:r>
          </w:p>
        </w:tc>
      </w:tr>
      <w:tr>
        <w:tc>
          <w:tcPr>
            <w:tcW w:type="dxa" w:w="2160"/>
          </w:tcPr>
          <w:p>
            <w:r>
              <w:rPr>
                <w:sz w:val="20"/>
              </w:rPr>
              <w:t>matplotlib</w:t>
            </w:r>
          </w:p>
        </w:tc>
        <w:tc>
          <w:tcPr>
            <w:tcW w:type="dxa" w:w="1440"/>
          </w:tcPr>
          <w:p>
            <w:r>
              <w:rPr>
                <w:sz w:val="20"/>
              </w:rPr>
              <w:t>—</w:t>
            </w:r>
          </w:p>
        </w:tc>
        <w:tc>
          <w:tcPr>
            <w:tcW w:type="dxa" w:w="5040"/>
          </w:tcPr>
          <w:p>
            <w:r>
              <w:rPr>
                <w:sz w:val="20"/>
              </w:rPr>
              <w:t>Static plots for reports</w:t>
            </w:r>
          </w:p>
        </w:tc>
      </w:tr>
    </w:tbl>
    <w:p>
      <w:pPr>
        <w:pStyle w:val="Heading2"/>
      </w:pPr>
      <w:r>
        <w:rPr>
          <w:color w:val="1F4E79"/>
        </w:rPr>
        <w:t>F.2 Development Dependencies</w:t>
      </w:r>
    </w:p>
    <w:tbl>
      <w:tblPr>
        <w:tblStyle w:val="TableGrid"/>
        <w:tblW w:type="auto" w:w="0"/>
        <w:tblLook w:firstColumn="1" w:firstRow="1" w:lastColumn="0" w:lastRow="0" w:noHBand="0" w:noVBand="1" w:val="04A0"/>
      </w:tblPr>
      <w:tblGrid>
        <w:gridCol w:w="4320"/>
        <w:gridCol w:w="4320"/>
      </w:tblGrid>
      <w:tr>
        <w:tc>
          <w:tcPr>
            <w:tcW w:type="dxa" w:w="2160"/>
            <w:shd w:fill="1F4E79" w:val="clear"/>
          </w:tcPr>
          <w:p>
            <w:pPr>
              <w:jc w:val="center"/>
            </w:pPr>
            <w:r>
              <w:rPr>
                <w:b/>
                <w:color w:val="FFFFFF"/>
                <w:sz w:val="20"/>
              </w:rPr>
              <w:t>Package</w:t>
            </w:r>
          </w:p>
        </w:tc>
        <w:tc>
          <w:tcPr>
            <w:tcW w:type="dxa" w:w="7200"/>
            <w:shd w:fill="1F4E79" w:val="clear"/>
          </w:tcPr>
          <w:p>
            <w:pPr>
              <w:jc w:val="center"/>
            </w:pPr>
            <w:r>
              <w:rPr>
                <w:b/>
                <w:color w:val="FFFFFF"/>
                <w:sz w:val="20"/>
              </w:rPr>
              <w:t>Purpose</w:t>
            </w:r>
          </w:p>
        </w:tc>
      </w:tr>
      <w:tr>
        <w:tc>
          <w:tcPr>
            <w:tcW w:type="dxa" w:w="2160"/>
          </w:tcPr>
          <w:p>
            <w:r>
              <w:rPr>
                <w:sz w:val="20"/>
              </w:rPr>
              <w:t>pytest</w:t>
            </w:r>
          </w:p>
        </w:tc>
        <w:tc>
          <w:tcPr>
            <w:tcW w:type="dxa" w:w="7200"/>
          </w:tcPr>
          <w:p>
            <w:r>
              <w:rPr>
                <w:sz w:val="20"/>
              </w:rPr>
              <w:t>Test runner</w:t>
            </w:r>
          </w:p>
        </w:tc>
      </w:tr>
      <w:tr>
        <w:tc>
          <w:tcPr>
            <w:tcW w:type="dxa" w:w="2160"/>
          </w:tcPr>
          <w:p>
            <w:r>
              <w:rPr>
                <w:sz w:val="20"/>
              </w:rPr>
              <w:t>pytest-cov</w:t>
            </w:r>
          </w:p>
        </w:tc>
        <w:tc>
          <w:tcPr>
            <w:tcW w:type="dxa" w:w="7200"/>
          </w:tcPr>
          <w:p>
            <w:r>
              <w:rPr>
                <w:sz w:val="20"/>
              </w:rPr>
              <w:t>Coverage reporting</w:t>
            </w:r>
          </w:p>
        </w:tc>
      </w:tr>
      <w:tr>
        <w:tc>
          <w:tcPr>
            <w:tcW w:type="dxa" w:w="2160"/>
          </w:tcPr>
          <w:p>
            <w:r>
              <w:rPr>
                <w:sz w:val="20"/>
              </w:rPr>
              <w:t>ruff</w:t>
            </w:r>
          </w:p>
        </w:tc>
        <w:tc>
          <w:tcPr>
            <w:tcW w:type="dxa" w:w="7200"/>
          </w:tcPr>
          <w:p>
            <w:r>
              <w:rPr>
                <w:sz w:val="20"/>
              </w:rPr>
              <w:t>Linting &amp; formatting</w:t>
            </w:r>
          </w:p>
        </w:tc>
      </w:tr>
    </w:tbl>
    <w:p>
      <w:pPr>
        <w:pStyle w:val="Heading2"/>
      </w:pPr>
      <w:r>
        <w:rPr>
          <w:color w:val="1F4E79"/>
        </w:rPr>
        <w:t>F.3 Optional Dependencies</w:t>
      </w:r>
    </w:p>
    <w:tbl>
      <w:tblPr>
        <w:tblStyle w:val="TableGrid"/>
        <w:tblW w:type="auto" w:w="0"/>
        <w:tblLook w:firstColumn="1" w:firstRow="1" w:lastColumn="0" w:lastRow="0" w:noHBand="0" w:noVBand="1" w:val="04A0"/>
      </w:tblPr>
      <w:tblGrid>
        <w:gridCol w:w="2880"/>
        <w:gridCol w:w="2880"/>
        <w:gridCol w:w="2880"/>
      </w:tblGrid>
      <w:tr>
        <w:tc>
          <w:tcPr>
            <w:tcW w:type="dxa" w:w="2592"/>
            <w:shd w:fill="1F4E79" w:val="clear"/>
          </w:tcPr>
          <w:p>
            <w:pPr>
              <w:jc w:val="center"/>
            </w:pPr>
            <w:r>
              <w:rPr>
                <w:b/>
                <w:color w:val="FFFFFF"/>
                <w:sz w:val="20"/>
              </w:rPr>
              <w:t>Package</w:t>
            </w:r>
          </w:p>
        </w:tc>
        <w:tc>
          <w:tcPr>
            <w:tcW w:type="dxa" w:w="1152"/>
            <w:shd w:fill="1F4E79" w:val="clear"/>
          </w:tcPr>
          <w:p>
            <w:pPr>
              <w:jc w:val="center"/>
            </w:pPr>
            <w:r>
              <w:rPr>
                <w:b/>
                <w:color w:val="FFFFFF"/>
                <w:sz w:val="20"/>
              </w:rPr>
              <w:t>Extra</w:t>
            </w:r>
          </w:p>
        </w:tc>
        <w:tc>
          <w:tcPr>
            <w:tcW w:type="dxa" w:w="5040"/>
            <w:shd w:fill="1F4E79" w:val="clear"/>
          </w:tcPr>
          <w:p>
            <w:pPr>
              <w:jc w:val="center"/>
            </w:pPr>
            <w:r>
              <w:rPr>
                <w:b/>
                <w:color w:val="FFFFFF"/>
                <w:sz w:val="20"/>
              </w:rPr>
              <w:t>Purpose</w:t>
            </w:r>
          </w:p>
        </w:tc>
      </w:tr>
      <w:tr>
        <w:tc>
          <w:tcPr>
            <w:tcW w:type="dxa" w:w="2592"/>
          </w:tcPr>
          <w:p>
            <w:r>
              <w:rPr>
                <w:sz w:val="20"/>
              </w:rPr>
              <w:t>segment-anything</w:t>
            </w:r>
          </w:p>
        </w:tc>
        <w:tc>
          <w:tcPr>
            <w:tcW w:type="dxa" w:w="1152"/>
          </w:tcPr>
          <w:p>
            <w:r>
              <w:rPr>
                <w:sz w:val="20"/>
              </w:rPr>
              <w:t>[sam]</w:t>
            </w:r>
          </w:p>
        </w:tc>
        <w:tc>
          <w:tcPr>
            <w:tcW w:type="dxa" w:w="5040"/>
          </w:tcPr>
          <w:p>
            <w:r>
              <w:rPr>
                <w:sz w:val="20"/>
              </w:rPr>
              <w:t>SAM model weights &amp; inference</w:t>
            </w:r>
          </w:p>
        </w:tc>
      </w:tr>
      <w:tr>
        <w:tc>
          <w:tcPr>
            <w:tcW w:type="dxa" w:w="2592"/>
          </w:tcPr>
          <w:p>
            <w:r>
              <w:rPr>
                <w:sz w:val="20"/>
              </w:rPr>
              <w:t>pyvista</w:t>
            </w:r>
          </w:p>
        </w:tc>
        <w:tc>
          <w:tcPr>
            <w:tcW w:type="dxa" w:w="1152"/>
          </w:tcPr>
          <w:p>
            <w:r>
              <w:rPr>
                <w:sz w:val="20"/>
              </w:rPr>
              <w:t>[viz]</w:t>
            </w:r>
          </w:p>
        </w:tc>
        <w:tc>
          <w:tcPr>
            <w:tcW w:type="dxa" w:w="5040"/>
          </w:tcPr>
          <w:p>
            <w:r>
              <w:rPr>
                <w:sz w:val="20"/>
              </w:rPr>
              <w:t>Alternative 3D visualization</w:t>
            </w:r>
          </w:p>
        </w:tc>
      </w:tr>
      <w:tr>
        <w:tc>
          <w:tcPr>
            <w:tcW w:type="dxa" w:w="2592"/>
          </w:tcPr>
          <w:p>
            <w:r>
              <w:rPr>
                <w:sz w:val="20"/>
              </w:rPr>
              <w:t>onnxruntime</w:t>
            </w:r>
          </w:p>
        </w:tc>
        <w:tc>
          <w:tcPr>
            <w:tcW w:type="dxa" w:w="1152"/>
          </w:tcPr>
          <w:p>
            <w:r>
              <w:rPr>
                <w:sz w:val="20"/>
              </w:rPr>
              <w:t>[sam]</w:t>
            </w:r>
          </w:p>
        </w:tc>
        <w:tc>
          <w:tcPr>
            <w:tcW w:type="dxa" w:w="5040"/>
          </w:tcPr>
          <w:p>
            <w:r>
              <w:rPr>
                <w:sz w:val="20"/>
              </w:rPr>
              <w:t>Optimized SAM inference</w:t>
            </w:r>
          </w:p>
        </w:tc>
      </w:tr>
    </w:tbl>
    <w:p/>
    <w:p/>
    <w:p>
      <w:pPr>
        <w:jc w:val="center"/>
      </w:pPr>
      <w:r>
        <w:rPr>
          <w:i/>
          <w:color w:val="555555"/>
          <w:sz w:val="22"/>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