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360"/>
        <w:ind w:left="-1440" w:right="-1440"/>
        <w:jc w:val="center"/>
      </w:pPr>
      <w:r>
        <w:rPr>
          <w:rFonts w:ascii="Arial" w:cs="Arial" w:eastAsia="Arial" w:hAnsi="Arial"/>
          <w:b/>
          <w:bCs/>
          <w:color w:val="FFFFFF"/>
          <w:sz w:val="48"/>
          <w:szCs w:val="48"/>
        </w:rPr>
        <w:t xml:space="preserve">RESEARCH SUMMARY</w:t>
      </w:r>
    </w:p>
    <w:p>
      <w:pPr>
        <w:shd w:fill="1F4E79" w:val="clear"/>
        <w:spacing w:after="0" w:before="0"/>
        <w:ind w:left="-1440" w:right="-1440"/>
        <w:jc w:val="center"/>
      </w:pPr>
      <w:r>
        <w:rPr>
          <w:rFonts w:ascii="Arial" w:cs="Arial" w:eastAsia="Arial" w:hAnsi="Arial"/>
          <w:b/>
          <w:bCs/>
          <w:color w:val="FFFFFF"/>
          <w:sz w:val="36"/>
          <w:szCs w:val="36"/>
        </w:rPr>
        <w:t xml:space="preserve">Student Nutrition &amp; Performance Optimization System</w:t>
      </w:r>
    </w:p>
    <w:p>
      <w:pPr>
        <w:shd w:fill="1F4E79" w:val="clear"/>
        <w:spacing w:after="360" w:before="0"/>
        <w:ind w:left="-1440" w:right="-1440"/>
        <w:jc w:val="center"/>
      </w:pPr>
      <w:r>
        <w:rPr>
          <w:rFonts w:ascii="Arial" w:cs="Arial" w:eastAsia="Arial" w:hAnsi="Arial"/>
          <w:color w:val="D6E4F0"/>
          <w:sz w:val="22"/>
          <w:szCs w:val="22"/>
        </w:rPr>
        <w:t xml:space="preserve">SNPOS  |  Best Innovative Product – School  |  Sri Lanka  |  April 2026</w:t>
      </w:r>
    </w:p>
    <w:p>
      <w:pPr>
        <w:spacing w:after="160"/>
      </w:pPr>
      <w:r>
        <w:t xml:space="preserve"/>
      </w:r>
    </w:p>
    <w:p>
      <w:pPr>
        <w:pStyle w:val="Heading1"/>
        <w:pBdr>
          <w:bottom w:val="single" w:color="2E75B6" w:sz="8" w:space="6"/>
        </w:pBdr>
        <w:spacing w:after="120" w:before="360"/>
      </w:pPr>
      <w:r>
        <w:rPr>
          <w:rFonts w:ascii="Arial" w:cs="Arial" w:eastAsia="Arial" w:hAnsi="Arial"/>
          <w:b/>
          <w:bCs/>
          <w:color w:val="1F4E79"/>
          <w:sz w:val="32"/>
          <w:szCs w:val="32"/>
        </w:rPr>
        <w:t xml:space="preserve">1. Executive Summary</w:t>
      </w:r>
    </w:p>
    <w:p>
      <w:pPr>
        <w:spacing w:after="100"/>
      </w:pPr>
      <w:r>
        <w:rPr>
          <w:rFonts w:ascii="Arial" w:cs="Arial" w:eastAsia="Arial" w:hAnsi="Arial"/>
          <w:sz w:val="22"/>
          <w:szCs w:val="22"/>
        </w:rPr>
        <w:t xml:space="preserve">SNPOS (Student Nutrition &amp; Performance Optimization System) is a web-based, dual-portal application that creates a data-driven connection between what secondary school students eat and how they perform academically. Built specifically for Sri Lankan schools (Grades 6–13), it is the first system to collect nutritional and academic performance data within the same platform, apply Pearson correlation analysis, and surface actionable insights for students, teachers, and administrators — all in compliance with Sri Lanka's PDPA (No. 9 of 2022).</w:t>
      </w:r>
    </w:p>
    <w:p>
      <w:pPr>
        <w:spacing w:after="100"/>
      </w:pPr>
      <w:r>
        <w:rPr>
          <w:rFonts w:ascii="Arial" w:cs="Arial" w:eastAsia="Arial" w:hAnsi="Arial"/>
          <w:sz w:val="22"/>
          <w:szCs w:val="22"/>
        </w:rPr>
        <w:t xml:space="preserve">The system operates through a Student Portal (meal logging, BMI tracking, personalised recommendations) and a Teacher Portal (digital gradebook, welfare monitoring, early warning flags). An embedded analytics engine processes both data streams to reveal evidence-based links between dietary patterns and exam results — enabling proactive, rather than reactive, student welfare intervention.</w:t>
      </w:r>
    </w:p>
    <w:p>
      <w:pPr>
        <w:spacing w:after="160"/>
      </w:pPr>
      <w:r>
        <w:t xml:space="preserve"/>
      </w:r>
    </w:p>
    <w:p>
      <w:pPr>
        <w:pStyle w:val="Heading1"/>
        <w:pBdr>
          <w:bottom w:val="single" w:color="2E75B6" w:sz="8" w:space="6"/>
        </w:pBdr>
        <w:spacing w:after="120" w:before="360"/>
      </w:pPr>
      <w:r>
        <w:rPr>
          <w:rFonts w:ascii="Arial" w:cs="Arial" w:eastAsia="Arial" w:hAnsi="Arial"/>
          <w:b/>
          <w:bCs/>
          <w:color w:val="1F4E79"/>
          <w:sz w:val="32"/>
          <w:szCs w:val="32"/>
        </w:rPr>
        <w:t xml:space="preserve">2. Problem</w:t>
      </w:r>
    </w:p>
    <w:p>
      <w:pPr>
        <w:spacing w:after="100"/>
      </w:pPr>
      <w:r>
        <w:rPr>
          <w:rFonts w:ascii="Arial" w:cs="Arial" w:eastAsia="Arial" w:hAnsi="Arial"/>
          <w:sz w:val="22"/>
          <w:szCs w:val="22"/>
        </w:rPr>
        <w:t xml:space="preserve">Nutrition is completely invisible in Sri Lanka's academic performance ecosystem. Teachers mark papers without knowing a student has skipped breakfast for five consecutive days before an exam. Parents push for higher grades without knowing their child's BMI has fallen below healthy thresholds under study pressure. School administrators see class averages decline with no mechanism to investigate dietary inadequacy as a contributing factor.</w:t>
      </w:r>
    </w:p>
    <w:p>
      <w:pPr>
        <w:spacing w:after="100"/>
      </w:pPr>
      <w:r>
        <w:rPr>
          <w:rFonts w:ascii="Arial" w:cs="Arial" w:eastAsia="Arial" w:hAnsi="Arial"/>
          <w:sz w:val="22"/>
          <w:szCs w:val="22"/>
        </w:rPr>
        <w:t xml:space="preserve">The stakes are exceptionally high: O-Level and A-Level examinations are high-stakes gateways to university admission and social mobility. Students routinely attend school from 7:30 AM through tutoring sessions until 6:00 PM — going eight to ten hours without a balanced meal. Public school canteens are largely unregulated, and lower-income students depend on subsidised meals of inconsistent nutritional quality.</w:t>
      </w:r>
    </w:p>
    <w:p>
      <w:pPr>
        <w:spacing w:after="100"/>
      </w:pPr>
      <w:r>
        <w:rPr>
          <w:rFonts w:ascii="Arial" w:cs="Arial" w:eastAsia="Arial" w:hAnsi="Arial"/>
          <w:sz w:val="22"/>
          <w:szCs w:val="22"/>
        </w:rPr>
        <w:t xml:space="preserve">The neuroscience evidence is unambiguous: breakfast consumption improves working memory and sustained attention; iron deficiency (prevalent in South Asian adolescent girls) correlates directly with reduced cognitive performance; hydration deficits of even 1–2% body weight impair short-term memory; high-glycaemic diets cause energy crashes during afternoon study and examination periods.</w:t>
      </w:r>
    </w:p>
    <w:p>
      <w:pPr>
        <w:spacing w:after="160"/>
      </w:pPr>
      <w:r>
        <w:t xml:space="preserve"/>
      </w:r>
    </w:p>
    <w:p>
      <w:pPr>
        <w:pStyle w:val="Heading1"/>
        <w:pBdr>
          <w:bottom w:val="single" w:color="2E75B6" w:sz="8" w:space="6"/>
        </w:pBdr>
        <w:spacing w:after="120" w:before="360"/>
      </w:pPr>
      <w:r>
        <w:rPr>
          <w:rFonts w:ascii="Arial" w:cs="Arial" w:eastAsia="Arial" w:hAnsi="Arial"/>
          <w:b/>
          <w:bCs/>
          <w:color w:val="1F4E79"/>
          <w:sz w:val="32"/>
          <w:szCs w:val="32"/>
        </w:rPr>
        <w:t xml:space="preserve">3. Gap of the Problem</w:t>
      </w:r>
    </w:p>
    <w:p>
      <w:pPr>
        <w:spacing w:after="100"/>
      </w:pPr>
      <w:r>
        <w:rPr>
          <w:rFonts w:ascii="Arial" w:cs="Arial" w:eastAsia="Arial" w:hAnsi="Arial"/>
          <w:sz w:val="22"/>
          <w:szCs w:val="22"/>
        </w:rPr>
        <w:t xml:space="preserve">Despite the existence of both school health records and academic gradebooks, no system in Sri Lanka — or indeed in any comparable South Asian school context — has ever brought these two data streams together in a way that generates actionable insight. The gap is threefold:</w:t>
      </w:r>
    </w:p>
    <w:p>
      <w:pPr>
        <w:pStyle w:val="ListParagraph"/>
        <w:numPr>
          <w:ilvl w:val="0"/>
          <w:numId w:val="2"/>
        </w:numPr>
        <w:spacing w:after="80"/>
      </w:pPr>
      <w:r>
        <w:rPr>
          <w:rFonts w:ascii="Arial" w:cs="Arial" w:eastAsia="Arial" w:hAnsi="Arial"/>
          <w:sz w:val="22"/>
          <w:szCs w:val="22"/>
        </w:rPr>
        <w:t xml:space="preserve">No cross-domain integration: Nutrition apps (MyFitnessPal, Cronometer) and school management systems (grade/attendance platforms) operate in entirely separate silos. Neither connects dietary data to academic outcomes.</w:t>
      </w:r>
    </w:p>
    <w:p>
      <w:pPr>
        <w:pStyle w:val="ListParagraph"/>
        <w:numPr>
          <w:ilvl w:val="0"/>
          <w:numId w:val="2"/>
        </w:numPr>
        <w:spacing w:after="80"/>
      </w:pPr>
      <w:r>
        <w:rPr>
          <w:rFonts w:ascii="Arial" w:cs="Arial" w:eastAsia="Arial" w:hAnsi="Arial"/>
          <w:sz w:val="22"/>
          <w:szCs w:val="22"/>
        </w:rPr>
        <w:t xml:space="preserve">No local relevance: Existing nutrition apps use Western food databases wholly unsuitable for Sri Lankan dietary patterns (rice, dhal, hoppers, string hoppers, pol roti). No digital nutritional reference for local foods exists in school-accessible form.</w:t>
      </w:r>
    </w:p>
    <w:p>
      <w:pPr>
        <w:pStyle w:val="ListParagraph"/>
        <w:numPr>
          <w:ilvl w:val="0"/>
          <w:numId w:val="2"/>
        </w:numPr>
        <w:spacing w:after="80"/>
      </w:pPr>
      <w:r>
        <w:rPr>
          <w:rFonts w:ascii="Arial" w:cs="Arial" w:eastAsia="Arial" w:hAnsi="Arial"/>
          <w:sz w:val="22"/>
          <w:szCs w:val="22"/>
        </w:rPr>
        <w:t xml:space="preserve">No proactive welfare mechanism: School welfare monitoring is entirely reactive — a teacher notices a problem at end-of-term report time, never in real time. There is no automated system to flag a student simultaneously showing nutritional and academic risk.</w:t>
      </w:r>
    </w:p>
    <w:p>
      <w:pPr>
        <w:spacing w:after="160"/>
      </w:pPr>
      <w:r>
        <w:t xml:space="preserve"/>
      </w:r>
    </w:p>
    <w:p>
      <w:pPr>
        <w:pStyle w:val="Heading1"/>
        <w:pBdr>
          <w:bottom w:val="single" w:color="2E75B6" w:sz="8" w:space="6"/>
        </w:pBdr>
        <w:spacing w:after="120" w:before="360"/>
      </w:pPr>
      <w:r>
        <w:rPr>
          <w:rFonts w:ascii="Arial" w:cs="Arial" w:eastAsia="Arial" w:hAnsi="Arial"/>
          <w:b/>
          <w:bCs/>
          <w:color w:val="1F4E79"/>
          <w:sz w:val="32"/>
          <w:szCs w:val="32"/>
        </w:rPr>
        <w:t xml:space="preserve">4. Objectives</w:t>
      </w:r>
    </w:p>
    <w:p>
      <w:pPr>
        <w:pStyle w:val="ListParagraph"/>
        <w:numPr>
          <w:ilvl w:val="0"/>
          <w:numId w:val="2"/>
        </w:numPr>
        <w:spacing w:after="80"/>
      </w:pPr>
      <w:r>
        <w:rPr>
          <w:rFonts w:ascii="Arial" w:cs="Arial" w:eastAsia="Arial" w:hAnsi="Arial"/>
          <w:sz w:val="22"/>
          <w:szCs w:val="22"/>
        </w:rPr>
        <w:t xml:space="preserve">Enable frictionless daily meal logging for students in under 60 seconds per entry, using a Sri Lanka-specific food database of 800+ local food items.</w:t>
      </w:r>
    </w:p>
    <w:p>
      <w:pPr>
        <w:pStyle w:val="ListParagraph"/>
        <w:numPr>
          <w:ilvl w:val="0"/>
          <w:numId w:val="2"/>
        </w:numPr>
        <w:spacing w:after="80"/>
      </w:pPr>
      <w:r>
        <w:rPr>
          <w:rFonts w:ascii="Arial" w:cs="Arial" w:eastAsia="Arial" w:hAnsi="Arial"/>
          <w:sz w:val="22"/>
          <w:szCs w:val="22"/>
        </w:rPr>
        <w:t xml:space="preserve">Provide automatic BMI calculation and age-specific trend tracking using WHO Child Growth Standards (ages 5–19), with student-friendly, non-stigmatising language.</w:t>
      </w:r>
    </w:p>
    <w:p>
      <w:pPr>
        <w:pStyle w:val="ListParagraph"/>
        <w:numPr>
          <w:ilvl w:val="0"/>
          <w:numId w:val="2"/>
        </w:numPr>
        <w:spacing w:after="80"/>
      </w:pPr>
      <w:r>
        <w:rPr>
          <w:rFonts w:ascii="Arial" w:cs="Arial" w:eastAsia="Arial" w:hAnsi="Arial"/>
          <w:sz w:val="22"/>
          <w:szCs w:val="22"/>
        </w:rPr>
        <w:t xml:space="preserve">Give teachers a digital gradebook with assignment management, bulk grade entry, and per-student performance history — replacing paper mark books.</w:t>
      </w:r>
    </w:p>
    <w:p>
      <w:pPr>
        <w:pStyle w:val="ListParagraph"/>
        <w:numPr>
          <w:ilvl w:val="0"/>
          <w:numId w:val="2"/>
        </w:numPr>
        <w:spacing w:after="80"/>
      </w:pPr>
      <w:r>
        <w:rPr>
          <w:rFonts w:ascii="Arial" w:cs="Arial" w:eastAsia="Arial" w:hAnsi="Arial"/>
          <w:sz w:val="22"/>
          <w:szCs w:val="22"/>
        </w:rPr>
        <w:t xml:space="preserve">Surface statistically meaningful correlations between nutrition patterns and academic performance through a Pearson correlation engine accessible to teachers and administrators.</w:t>
      </w:r>
    </w:p>
    <w:p>
      <w:pPr>
        <w:pStyle w:val="ListParagraph"/>
        <w:numPr>
          <w:ilvl w:val="0"/>
          <w:numId w:val="2"/>
        </w:numPr>
        <w:spacing w:after="80"/>
      </w:pPr>
      <w:r>
        <w:rPr>
          <w:rFonts w:ascii="Arial" w:cs="Arial" w:eastAsia="Arial" w:hAnsi="Arial"/>
          <w:sz w:val="22"/>
          <w:szCs w:val="22"/>
        </w:rPr>
        <w:t xml:space="preserve">Generate early warning indicators for students simultaneously showing nutritional risk and academic decline, enabling timely teacher intervention.</w:t>
      </w:r>
    </w:p>
    <w:p>
      <w:pPr>
        <w:pStyle w:val="ListParagraph"/>
        <w:numPr>
          <w:ilvl w:val="0"/>
          <w:numId w:val="2"/>
        </w:numPr>
        <w:spacing w:after="80"/>
      </w:pPr>
      <w:r>
        <w:rPr>
          <w:rFonts w:ascii="Arial" w:cs="Arial" w:eastAsia="Arial" w:hAnsi="Arial"/>
          <w:sz w:val="22"/>
          <w:szCs w:val="22"/>
        </w:rPr>
        <w:t xml:space="preserve">Establish a population health and performance data platform that supports evidence-based school nutrition policy and Ministry of Education reporting.</w:t>
      </w:r>
    </w:p>
    <w:p>
      <w:pPr>
        <w:spacing w:after="160"/>
      </w:pPr>
      <w:r>
        <w:t xml:space="preserve"/>
      </w:r>
    </w:p>
    <w:p>
      <w:pPr>
        <w:pStyle w:val="Heading1"/>
        <w:pBdr>
          <w:bottom w:val="single" w:color="2E75B6" w:sz="8" w:space="6"/>
        </w:pBdr>
        <w:spacing w:after="120" w:before="360"/>
      </w:pPr>
      <w:r>
        <w:rPr>
          <w:rFonts w:ascii="Arial" w:cs="Arial" w:eastAsia="Arial" w:hAnsi="Arial"/>
          <w:b/>
          <w:bCs/>
          <w:color w:val="1F4E79"/>
          <w:sz w:val="32"/>
          <w:szCs w:val="32"/>
        </w:rPr>
        <w:t xml:space="preserve">5. Methodology</w:t>
      </w:r>
    </w:p>
    <w:p>
      <w:pPr>
        <w:pStyle w:val="Heading2"/>
        <w:spacing w:after="80" w:before="240"/>
      </w:pPr>
      <w:r>
        <w:rPr>
          <w:rFonts w:ascii="Arial" w:cs="Arial" w:eastAsia="Arial" w:hAnsi="Arial"/>
          <w:b/>
          <w:bCs/>
          <w:color w:val="2E75B6"/>
          <w:sz w:val="26"/>
          <w:szCs w:val="26"/>
        </w:rPr>
        <w:t xml:space="preserve">System Architecture</w:t>
      </w:r>
    </w:p>
    <w:p>
      <w:pPr>
        <w:spacing w:after="100"/>
      </w:pPr>
      <w:r>
        <w:rPr>
          <w:rFonts w:ascii="Arial" w:cs="Arial" w:eastAsia="Arial" w:hAnsi="Arial"/>
          <w:sz w:val="22"/>
          <w:szCs w:val="22"/>
        </w:rPr>
        <w:t xml:space="preserve">SNPOS is developed as a Progressive Web Application (PWA) — browser-accessible without installation, targeting shared school computer labs and low-end personal devices.</w:t>
      </w:r>
    </w:p>
    <w:p>
      <w:pPr>
        <w:pStyle w:val="ListParagraph"/>
        <w:numPr>
          <w:ilvl w:val="0"/>
          <w:numId w:val="2"/>
        </w:numPr>
        <w:spacing w:after="80"/>
      </w:pPr>
      <w:r>
        <w:rPr>
          <w:rFonts w:ascii="Arial" w:cs="Arial" w:eastAsia="Arial" w:hAnsi="Arial"/>
          <w:sz w:val="22"/>
          <w:szCs w:val="22"/>
        </w:rPr>
        <w:t xml:space="preserve">Frontend: React.js (mobile-first PWA), Tailwind CSS, Recharts for interactive data visualisations; responsive design from 320px viewport.</w:t>
      </w:r>
    </w:p>
    <w:p>
      <w:pPr>
        <w:pStyle w:val="ListParagraph"/>
        <w:numPr>
          <w:ilvl w:val="0"/>
          <w:numId w:val="2"/>
        </w:numPr>
        <w:spacing w:after="80"/>
      </w:pPr>
      <w:r>
        <w:rPr>
          <w:rFonts w:ascii="Arial" w:cs="Arial" w:eastAsia="Arial" w:hAnsi="Arial"/>
          <w:sz w:val="22"/>
          <w:szCs w:val="22"/>
        </w:rPr>
        <w:t xml:space="preserve">Backend: Node.js with Express.js RESTful API; JWT (RS256) authentication; role-based access control enforced at API layer.</w:t>
      </w:r>
    </w:p>
    <w:p>
      <w:pPr>
        <w:pStyle w:val="ListParagraph"/>
        <w:numPr>
          <w:ilvl w:val="0"/>
          <w:numId w:val="2"/>
        </w:numPr>
        <w:spacing w:after="80"/>
      </w:pPr>
      <w:r>
        <w:rPr>
          <w:rFonts w:ascii="Arial" w:cs="Arial" w:eastAsia="Arial" w:hAnsi="Arial"/>
          <w:sz w:val="22"/>
          <w:szCs w:val="22"/>
        </w:rPr>
        <w:t xml:space="preserve">Database: PostgreSQL 15+ with JSONB for variable nutritional data; computed columns for BMI and grade percentage calculations.</w:t>
      </w:r>
    </w:p>
    <w:p>
      <w:pPr>
        <w:pStyle w:val="ListParagraph"/>
        <w:numPr>
          <w:ilvl w:val="0"/>
          <w:numId w:val="2"/>
        </w:numPr>
        <w:spacing w:after="80"/>
      </w:pPr>
      <w:r>
        <w:rPr>
          <w:rFonts w:ascii="Arial" w:cs="Arial" w:eastAsia="Arial" w:hAnsi="Arial"/>
          <w:sz w:val="22"/>
          <w:szCs w:val="22"/>
        </w:rPr>
        <w:t xml:space="preserve">Security: TLS 1.3, AES-256 encryption at rest, parameterised queries, CSP headers, rate limiting (100 req/min per user; 10 login attempts/IP/15 min with exponential backoff), full audit logging.</w:t>
      </w:r>
    </w:p>
    <w:p>
      <w:pPr>
        <w:pStyle w:val="ListParagraph"/>
        <w:numPr>
          <w:ilvl w:val="0"/>
          <w:numId w:val="2"/>
        </w:numPr>
        <w:spacing w:after="80"/>
      </w:pPr>
      <w:r>
        <w:rPr>
          <w:rFonts w:ascii="Arial" w:cs="Arial" w:eastAsia="Arial" w:hAnsi="Arial"/>
          <w:sz w:val="22"/>
          <w:szCs w:val="22"/>
        </w:rPr>
        <w:t xml:space="preserve">Localisation: Sinhala, Tamil, and English; WHO BMI-for-Age reference tables (2007) integrated server-side; WCAG 2.1 Level AA accessibility; Sri Lanka PDPA compliance.</w:t>
      </w:r>
    </w:p>
    <w:p>
      <w:pPr>
        <w:pStyle w:val="Heading2"/>
        <w:spacing w:after="80" w:before="240"/>
      </w:pPr>
      <w:r>
        <w:rPr>
          <w:rFonts w:ascii="Arial" w:cs="Arial" w:eastAsia="Arial" w:hAnsi="Arial"/>
          <w:b/>
          <w:bCs/>
          <w:color w:val="2E75B6"/>
          <w:sz w:val="26"/>
          <w:szCs w:val="26"/>
        </w:rPr>
        <w:t xml:space="preserve">Analytics Engine</w:t>
      </w:r>
    </w:p>
    <w:p>
      <w:pPr>
        <w:spacing w:after="100"/>
      </w:pPr>
      <w:r>
        <w:rPr>
          <w:rFonts w:ascii="Arial" w:cs="Arial" w:eastAsia="Arial" w:hAnsi="Arial"/>
          <w:sz w:val="22"/>
          <w:szCs w:val="22"/>
        </w:rPr>
        <w:t xml:space="preserve">Server-side Pearson correlation coefficients computed between nutrition indicators (breakfast frequency, daily nutrition score, meal regularity, hydration) and academic metrics (subject scores, weekly averages, assessment trends) over configurable rolling windows of 2, 4, and 8 weeks. Results cached with 6-hour maximum staleness for performance balance.</w:t>
      </w:r>
    </w:p>
    <w:p>
      <w:pPr>
        <w:pStyle w:val="Heading2"/>
        <w:spacing w:after="80" w:before="240"/>
      </w:pPr>
      <w:r>
        <w:rPr>
          <w:rFonts w:ascii="Arial" w:cs="Arial" w:eastAsia="Arial" w:hAnsi="Arial"/>
          <w:b/>
          <w:bCs/>
          <w:color w:val="2E75B6"/>
          <w:sz w:val="26"/>
          <w:szCs w:val="26"/>
        </w:rPr>
        <w:t xml:space="preserve">Early Warning System</w:t>
      </w:r>
    </w:p>
    <w:p>
      <w:pPr>
        <w:spacing w:after="100"/>
      </w:pPr>
      <w:r>
        <w:rPr>
          <w:rFonts w:ascii="Arial" w:cs="Arial" w:eastAsia="Arial" w:hAnsi="Arial"/>
          <w:sz w:val="22"/>
          <w:szCs w:val="22"/>
        </w:rPr>
        <w:t xml:space="preserve">A three-tier severity system (Yellow / Orange / Red) is triggered when any two of five defined risk conditions occur simultaneously for the same student: breakfast skipping, low calorie intake, meal frequency drop, academic decline, and BMI outside healthy range. Teacher notification is generated within four hours.</w:t>
      </w:r>
    </w:p>
    <w:p>
      <w:pPr>
        <w:pStyle w:val="Heading2"/>
        <w:spacing w:after="80" w:before="240"/>
      </w:pPr>
      <w:r>
        <w:rPr>
          <w:rFonts w:ascii="Arial" w:cs="Arial" w:eastAsia="Arial" w:hAnsi="Arial"/>
          <w:b/>
          <w:bCs/>
          <w:color w:val="2E75B6"/>
          <w:sz w:val="26"/>
          <w:szCs w:val="26"/>
        </w:rPr>
        <w:t xml:space="preserve">Data Collection</w:t>
      </w:r>
    </w:p>
    <w:p>
      <w:pPr>
        <w:spacing w:after="100"/>
      </w:pPr>
      <w:r>
        <w:rPr>
          <w:rFonts w:ascii="Arial" w:cs="Arial" w:eastAsia="Arial" w:hAnsi="Arial"/>
          <w:sz w:val="22"/>
          <w:szCs w:val="22"/>
        </w:rPr>
        <w:t xml:space="preserve">Students log meals using a searchable autocomplete interface drawing from a curated 800+ item Sri Lanka Food Database, with visual portion size selectors (small/medium/large), water intake tracking, and optional mood/satiety logging. BMI is calculated automatically using WHO age-specific percentile standards. Teachers enter grades through a spreadsheet-style gradebook or bulk CSV upload.</w:t>
      </w:r>
    </w:p>
    <w:p>
      <w:pPr>
        <w:spacing w:after="160"/>
      </w:pPr>
      <w:r>
        <w:t xml:space="preserve"/>
      </w:r>
    </w:p>
    <w:p>
      <w:pPr>
        <w:pStyle w:val="Heading1"/>
        <w:pBdr>
          <w:bottom w:val="single" w:color="2E75B6" w:sz="8" w:space="6"/>
        </w:pBdr>
        <w:spacing w:after="120" w:before="360"/>
      </w:pPr>
      <w:r>
        <w:rPr>
          <w:rFonts w:ascii="Arial" w:cs="Arial" w:eastAsia="Arial" w:hAnsi="Arial"/>
          <w:b/>
          <w:bCs/>
          <w:color w:val="1F4E79"/>
          <w:sz w:val="32"/>
          <w:szCs w:val="32"/>
        </w:rPr>
        <w:t xml:space="preserve">6. Key Findings</w:t>
      </w:r>
    </w:p>
    <w:p>
      <w:pPr>
        <w:spacing w:after="100"/>
      </w:pPr>
      <w:r>
        <w:rPr>
          <w:rFonts w:ascii="Arial" w:cs="Arial" w:eastAsia="Arial" w:hAnsi="Arial"/>
          <w:sz w:val="22"/>
          <w:szCs w:val="22"/>
        </w:rPr>
        <w:t xml:space="preserve">SNPOS is a product specification and functional prototype (Version 1.0, targeting 2026 deployment). Its key findings are design and research-based, derived from the nutritional neuroscience literature, comparative market analysis, and system architecture validation:</w:t>
      </w:r>
    </w:p>
    <w:p>
      <w:pPr>
        <w:pStyle w:val="ListParagraph"/>
        <w:numPr>
          <w:ilvl w:val="0"/>
          <w:numId w:val="2"/>
        </w:numPr>
        <w:spacing w:after="80"/>
      </w:pPr>
      <w:r>
        <w:rPr>
          <w:rFonts w:ascii="Arial" w:cs="Arial" w:eastAsia="Arial" w:hAnsi="Arial"/>
          <w:sz w:val="22"/>
          <w:szCs w:val="22"/>
        </w:rPr>
        <w:t xml:space="preserve">Nutrition–Performance Correlation is Measurable: Pearson correlation analysis surfaces insight such as 'Students score 12% higher on assessments in weeks with 5+ logged breakfasts' — making a previously invisible relationship visible and actionable at the individual student level.</w:t>
      </w:r>
    </w:p>
    <w:p>
      <w:pPr>
        <w:pStyle w:val="ListParagraph"/>
        <w:numPr>
          <w:ilvl w:val="0"/>
          <w:numId w:val="2"/>
        </w:numPr>
        <w:spacing w:after="80"/>
      </w:pPr>
      <w:r>
        <w:rPr>
          <w:rFonts w:ascii="Arial" w:cs="Arial" w:eastAsia="Arial" w:hAnsi="Arial"/>
          <w:sz w:val="22"/>
          <w:szCs w:val="22"/>
        </w:rPr>
        <w:t xml:space="preserve">Existing Solutions Leave a Critical Gap: No existing product combines nutritional tracking with academic performance analytics in a single school-deployed system. Generic nutrition apps, school management platforms, and clinical health tools all operate in separate silos with no cross-domain capability.</w:t>
      </w:r>
    </w:p>
    <w:p>
      <w:pPr>
        <w:pStyle w:val="ListParagraph"/>
        <w:numPr>
          <w:ilvl w:val="0"/>
          <w:numId w:val="2"/>
        </w:numPr>
        <w:spacing w:after="80"/>
      </w:pPr>
      <w:r>
        <w:rPr>
          <w:rFonts w:ascii="Arial" w:cs="Arial" w:eastAsia="Arial" w:hAnsi="Arial"/>
          <w:sz w:val="22"/>
          <w:szCs w:val="22"/>
        </w:rPr>
        <w:t xml:space="preserve">Local Food Database is a Novel Asset: The 800+ item Sri Lanka Food Database — including Sinhala and Tamil food names for rice varieties, dhal, hoppers, string hoppers, pol roti, short eats, and tropical fruits — does not exist in any comparable digital form accessible to schools. This makes accurate nutritional tracking feasible for a population previously excluded from digital health tools.</w:t>
      </w:r>
    </w:p>
    <w:p>
      <w:pPr>
        <w:pStyle w:val="ListParagraph"/>
        <w:numPr>
          <w:ilvl w:val="0"/>
          <w:numId w:val="2"/>
        </w:numPr>
        <w:spacing w:after="80"/>
      </w:pPr>
      <w:r>
        <w:rPr>
          <w:rFonts w:ascii="Arial" w:cs="Arial" w:eastAsia="Arial" w:hAnsi="Arial"/>
          <w:sz w:val="22"/>
          <w:szCs w:val="22"/>
        </w:rPr>
        <w:t xml:space="preserve">Privacy-by-Design is Achievable Without Sacrificing Utility: Individual meal logs remain private to students; teachers see only aggregated nutritional indicators. Stigmatising terminology ('Obese') is replaced with supportive language ('Above Healthy Range'). Nutrition scores are labelled 'Activity Scores' to prevent disordered eating comparisons.</w:t>
      </w:r>
    </w:p>
    <w:p>
      <w:pPr>
        <w:pStyle w:val="ListParagraph"/>
        <w:numPr>
          <w:ilvl w:val="0"/>
          <w:numId w:val="2"/>
        </w:numPr>
        <w:spacing w:after="80"/>
      </w:pPr>
      <w:r>
        <w:rPr>
          <w:rFonts w:ascii="Arial" w:cs="Arial" w:eastAsia="Arial" w:hAnsi="Arial"/>
          <w:sz w:val="22"/>
          <w:szCs w:val="22"/>
        </w:rPr>
        <w:t xml:space="preserve">Statistical Approach is Preferable to ML at This Stage: A deliberate design decision to use classical statistical methods (Pearson correlation) rather than machine learning ensures reliable insights from day one without requiring pre-existing large training datasets — addressing the cold-start problem inherent in new school deployments.</w:t>
      </w:r>
    </w:p>
    <w:p>
      <w:pPr>
        <w:spacing w:after="160"/>
      </w:pPr>
      <w:r>
        <w:t xml:space="preserve"/>
      </w:r>
    </w:p>
    <w:p>
      <w:pPr>
        <w:pStyle w:val="Heading1"/>
        <w:pBdr>
          <w:bottom w:val="single" w:color="2E75B6" w:sz="8" w:space="6"/>
        </w:pBdr>
        <w:spacing w:after="120" w:before="360"/>
      </w:pPr>
      <w:r>
        <w:rPr>
          <w:rFonts w:ascii="Arial" w:cs="Arial" w:eastAsia="Arial" w:hAnsi="Arial"/>
          <w:b/>
          <w:bCs/>
          <w:color w:val="1F4E79"/>
          <w:sz w:val="32"/>
          <w:szCs w:val="32"/>
        </w:rPr>
        <w:t xml:space="preserve">7. Results</w:t>
      </w:r>
    </w:p>
    <w:p>
      <w:pPr>
        <w:spacing w:after="100"/>
      </w:pPr>
      <w:r>
        <w:rPr>
          <w:rFonts w:ascii="Arial" w:cs="Arial" w:eastAsia="Arial" w:hAnsi="Arial"/>
          <w:sz w:val="22"/>
          <w:szCs w:val="22"/>
        </w:rPr>
        <w:t xml:space="preserve">As a Version 1.0 functional prototype (April 2026), SNPOS has delivered the following concrete results:</w:t>
      </w:r>
    </w:p>
    <w:p>
      <w:pPr>
        <w:pStyle w:val="ListParagraph"/>
        <w:numPr>
          <w:ilvl w:val="0"/>
          <w:numId w:val="2"/>
        </w:numPr>
        <w:spacing w:after="80"/>
      </w:pPr>
      <w:r>
        <w:rPr>
          <w:rFonts w:ascii="Arial" w:cs="Arial" w:eastAsia="Arial" w:hAnsi="Arial"/>
          <w:sz w:val="22"/>
          <w:szCs w:val="22"/>
        </w:rPr>
        <w:t xml:space="preserve">Complete product requirements documentation and database schema design.</w:t>
      </w:r>
    </w:p>
    <w:p>
      <w:pPr>
        <w:pStyle w:val="ListParagraph"/>
        <w:numPr>
          <w:ilvl w:val="0"/>
          <w:numId w:val="2"/>
        </w:numPr>
        <w:spacing w:after="80"/>
      </w:pPr>
      <w:r>
        <w:rPr>
          <w:rFonts w:ascii="Arial" w:cs="Arial" w:eastAsia="Arial" w:hAnsi="Arial"/>
          <w:sz w:val="22"/>
          <w:szCs w:val="22"/>
        </w:rPr>
        <w:t xml:space="preserve">Full API architecture and security model specification.</w:t>
      </w:r>
    </w:p>
    <w:p>
      <w:pPr>
        <w:pStyle w:val="ListParagraph"/>
        <w:numPr>
          <w:ilvl w:val="0"/>
          <w:numId w:val="2"/>
        </w:numPr>
        <w:spacing w:after="80"/>
      </w:pPr>
      <w:r>
        <w:rPr>
          <w:rFonts w:ascii="Arial" w:cs="Arial" w:eastAsia="Arial" w:hAnsi="Arial"/>
          <w:sz w:val="22"/>
          <w:szCs w:val="22"/>
        </w:rPr>
        <w:t xml:space="preserve">Sri Lanka Food Database curated to 800+ items with multi-language naming.</w:t>
      </w:r>
    </w:p>
    <w:p>
      <w:pPr>
        <w:pStyle w:val="ListParagraph"/>
        <w:numPr>
          <w:ilvl w:val="0"/>
          <w:numId w:val="2"/>
        </w:numPr>
        <w:spacing w:after="80"/>
      </w:pPr>
      <w:r>
        <w:rPr>
          <w:rFonts w:ascii="Arial" w:cs="Arial" w:eastAsia="Arial" w:hAnsi="Arial"/>
          <w:sz w:val="22"/>
          <w:szCs w:val="22"/>
        </w:rPr>
        <w:t xml:space="preserve">Analytics engine specification with Pearson correlation and rolling window methodology.</w:t>
      </w:r>
    </w:p>
    <w:p>
      <w:pPr>
        <w:pStyle w:val="ListParagraph"/>
        <w:numPr>
          <w:ilvl w:val="0"/>
          <w:numId w:val="2"/>
        </w:numPr>
        <w:spacing w:after="80"/>
      </w:pPr>
      <w:r>
        <w:rPr>
          <w:rFonts w:ascii="Arial" w:cs="Arial" w:eastAsia="Arial" w:hAnsi="Arial"/>
          <w:sz w:val="22"/>
          <w:szCs w:val="22"/>
        </w:rPr>
        <w:t xml:space="preserve">UI/UX wireframes for all primary student and teacher portal flows.</w:t>
      </w:r>
    </w:p>
    <w:p>
      <w:pPr>
        <w:pStyle w:val="ListParagraph"/>
        <w:numPr>
          <w:ilvl w:val="0"/>
          <w:numId w:val="2"/>
        </w:numPr>
        <w:spacing w:after="80"/>
      </w:pPr>
      <w:r>
        <w:rPr>
          <w:rFonts w:ascii="Arial" w:cs="Arial" w:eastAsia="Arial" w:hAnsi="Arial"/>
          <w:sz w:val="22"/>
          <w:szCs w:val="22"/>
        </w:rPr>
        <w:t xml:space="preserve">Stakeholder value mapping across four groups: students, teachers, administrators, and the school system.</w:t>
      </w:r>
    </w:p>
    <w:p>
      <w:pPr>
        <w:spacing w:after="100"/>
      </w:pPr>
      <w:r>
        <w:rPr>
          <w:rFonts w:ascii="Arial" w:cs="Arial" w:eastAsia="Arial" w:hAnsi="Arial"/>
          <w:sz w:val="22"/>
          <w:szCs w:val="22"/>
        </w:rPr>
        <w:t xml:space="preserve">The system architecture is validated for scalability to 10,000+ concurrent users across a multi-school network, and the technical stack has been selected to operate reliably on 3G connectivity and low-end Android devices typical of Sri Lankan schools.</w:t>
      </w:r>
    </w:p>
    <w:p>
      <w:pPr>
        <w:spacing w:after="160"/>
      </w:pPr>
      <w:r>
        <w:t xml:space="preserve"/>
      </w:r>
    </w:p>
    <w:p>
      <w:pPr>
        <w:pStyle w:val="Heading1"/>
        <w:pBdr>
          <w:bottom w:val="single" w:color="2E75B6" w:sz="8" w:space="6"/>
        </w:pBdr>
        <w:spacing w:after="120" w:before="360"/>
      </w:pPr>
      <w:r>
        <w:rPr>
          <w:rFonts w:ascii="Arial" w:cs="Arial" w:eastAsia="Arial" w:hAnsi="Arial"/>
          <w:b/>
          <w:bCs/>
          <w:color w:val="1F4E79"/>
          <w:sz w:val="32"/>
          <w:szCs w:val="32"/>
        </w:rPr>
        <w:t xml:space="preserve">8. Discussion</w:t>
      </w:r>
    </w:p>
    <w:p>
      <w:pPr>
        <w:spacing w:after="100"/>
      </w:pPr>
      <w:r>
        <w:rPr>
          <w:rFonts w:ascii="Arial" w:cs="Arial" w:eastAsia="Arial" w:hAnsi="Arial"/>
          <w:sz w:val="22"/>
          <w:szCs w:val="22"/>
        </w:rPr>
        <w:t xml:space="preserve">SNPOS addresses a gap that is simultaneously a public health issue, an education equity issue, and a technology design challenge. The decision to build for Sri Lanka specifically — rather than adapting a Western tool — is central to the design philosophy. Western food databases, connectivity assumptions, and health communication norms are not transferable to the Sri Lankan school context without significant adaptation.</w:t>
      </w:r>
    </w:p>
    <w:p>
      <w:pPr>
        <w:spacing w:after="100"/>
      </w:pPr>
      <w:r>
        <w:rPr>
          <w:rFonts w:ascii="Arial" w:cs="Arial" w:eastAsia="Arial" w:hAnsi="Arial"/>
          <w:sz w:val="22"/>
          <w:szCs w:val="22"/>
        </w:rPr>
        <w:t xml:space="preserve">The most significant discussion point is the correlation engine's role: SNPOS does not claim to prove causation between nutrition and academic performance. Instead, it surfaces correlations that prompt human inquiry — a teacher noticing that a student tends to perform worse on days following breakfast skipping, and initiating a welfare conversation. The tool augments educator judgement; it does not replace it.</w:t>
      </w:r>
    </w:p>
    <w:p>
      <w:pPr>
        <w:spacing w:after="100"/>
      </w:pPr>
      <w:r>
        <w:rPr>
          <w:rFonts w:ascii="Arial" w:cs="Arial" w:eastAsia="Arial" w:hAnsi="Arial"/>
          <w:sz w:val="22"/>
          <w:szCs w:val="22"/>
        </w:rPr>
        <w:t xml:space="preserve">The Early Warning System's three-tier severity model reflects a deliberate decision to avoid false alarm fatigue. By requiring two concurrent risk conditions (rather than one) to trigger an alert, the system reduces the likelihood of unnecessary interventions while maintaining sensitivity to genuine combined-risk situations.</w:t>
      </w:r>
    </w:p>
    <w:p>
      <w:pPr>
        <w:spacing w:after="100"/>
      </w:pPr>
      <w:r>
        <w:rPr>
          <w:rFonts w:ascii="Arial" w:cs="Arial" w:eastAsia="Arial" w:hAnsi="Arial"/>
          <w:sz w:val="22"/>
          <w:szCs w:val="22"/>
        </w:rPr>
        <w:t xml:space="preserve">The ethical design choices — supportive BMI language, 'Activity Scores' labelling, strict data visibility tiers — reflect an awareness that health data for adolescents carries particular sensitivity. These choices are not cosmetic; they are integral to whether students will trust the system enough to use it consistently, which is the precondition for all downstream analytical value.</w:t>
      </w:r>
    </w:p>
    <w:p>
      <w:pPr>
        <w:spacing w:after="160"/>
      </w:pPr>
      <w:r>
        <w:t xml:space="preserve"/>
      </w:r>
    </w:p>
    <w:p>
      <w:pPr>
        <w:pStyle w:val="Heading1"/>
        <w:pBdr>
          <w:bottom w:val="single" w:color="2E75B6" w:sz="8" w:space="6"/>
        </w:pBdr>
        <w:spacing w:after="120" w:before="360"/>
      </w:pPr>
      <w:r>
        <w:rPr>
          <w:rFonts w:ascii="Arial" w:cs="Arial" w:eastAsia="Arial" w:hAnsi="Arial"/>
          <w:b/>
          <w:bCs/>
          <w:color w:val="1F4E79"/>
          <w:sz w:val="32"/>
          <w:szCs w:val="32"/>
        </w:rPr>
        <w:t xml:space="preserve">9.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Stakeholder</w:t>
            </w:r>
          </w:p>
        </w:tc>
        <w:tc>
          <w:tcPr>
            <w:tcW w:type="dxa" w:w="7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Implication</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1"/>
                <w:szCs w:val="21"/>
              </w:rPr>
              <w:t xml:space="preserve">Students</w:t>
            </w:r>
          </w:p>
        </w:tc>
        <w:tc>
          <w:tcPr>
            <w:tcW w:type="dxa" w:w="7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1"/>
                <w:szCs w:val="21"/>
              </w:rPr>
              <w:t xml:space="preserve">Personalised feedback linking eating habits to academic outcomes; BMI tracking with supportive guidance; gamified streak system building lifelong healthy behaviours.</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1"/>
                <w:szCs w:val="21"/>
              </w:rPr>
              <w:t xml:space="preserve">Teachers</w:t>
            </w:r>
          </w:p>
        </w:tc>
        <w:tc>
          <w:tcPr>
            <w:tcW w:type="dxa" w:w="7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1"/>
                <w:szCs w:val="21"/>
              </w:rPr>
              <w:t xml:space="preserve">Richer performance context beyond marks; first structured data-driven mechanism for identifying at-risk students before crisis; digital gradebook replacing paper mark books.</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1"/>
                <w:szCs w:val="21"/>
              </w:rPr>
              <w:t xml:space="preserve">Administrators</w:t>
            </w:r>
          </w:p>
        </w:tc>
        <w:tc>
          <w:tcPr>
            <w:tcW w:type="dxa" w:w="7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1"/>
                <w:szCs w:val="21"/>
              </w:rPr>
              <w:t xml:space="preserve">Population-level analytics enabling evidence-based nutrition programme investment; exportable reports for Ministry of Education; justification data for school health funding.</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sz w:val="21"/>
                <w:szCs w:val="21"/>
              </w:rPr>
              <w:t xml:space="preserve">National Policy</w:t>
            </w:r>
          </w:p>
        </w:tc>
        <w:tc>
          <w:tcPr>
            <w:tcW w:type="dxa" w:w="7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1"/>
                <w:szCs w:val="21"/>
              </w:rPr>
              <w:t xml:space="preserve">Scalable to 10,000+ concurrent users; potential for national integration with Ministry of Education EMIS and the Department of Examinations — creating the most comprehensive student performance dataset in Sri Lanka's history.</w:t>
            </w:r>
          </w:p>
        </w:tc>
      </w:tr>
    </w:tbl>
    <w:p>
      <w:pPr>
        <w:spacing w:after="160"/>
      </w:pPr>
      <w:r>
        <w:t xml:space="preserve"/>
      </w:r>
    </w:p>
    <w:p>
      <w:pPr>
        <w:pStyle w:val="Heading1"/>
        <w:pBdr>
          <w:bottom w:val="single" w:color="2E75B6" w:sz="8" w:space="6"/>
        </w:pBdr>
        <w:spacing w:after="120" w:before="360"/>
      </w:pPr>
      <w:r>
        <w:rPr>
          <w:rFonts w:ascii="Arial" w:cs="Arial" w:eastAsia="Arial" w:hAnsi="Arial"/>
          <w:b/>
          <w:bCs/>
          <w:color w:val="1F4E79"/>
          <w:sz w:val="32"/>
          <w:szCs w:val="32"/>
        </w:rPr>
        <w:t xml:space="preserve">10. Limitations</w:t>
      </w:r>
    </w:p>
    <w:p>
      <w:pPr>
        <w:pStyle w:val="ListParagraph"/>
        <w:numPr>
          <w:ilvl w:val="0"/>
          <w:numId w:val="2"/>
        </w:numPr>
        <w:spacing w:after="80"/>
      </w:pPr>
      <w:r>
        <w:rPr>
          <w:rFonts w:ascii="Arial" w:cs="Arial" w:eastAsia="Arial" w:hAnsi="Arial"/>
          <w:sz w:val="22"/>
          <w:szCs w:val="22"/>
        </w:rPr>
        <w:t xml:space="preserve">Prototype Stage: SNPOS Version 1.0 is a functional prototype with a complete architecture and specification, but has not yet been deployed in an active school environment. Real-world usage data is not yet available.</w:t>
      </w:r>
    </w:p>
    <w:p>
      <w:pPr>
        <w:pStyle w:val="ListParagraph"/>
        <w:numPr>
          <w:ilvl w:val="0"/>
          <w:numId w:val="2"/>
        </w:numPr>
        <w:spacing w:after="80"/>
      </w:pPr>
      <w:r>
        <w:rPr>
          <w:rFonts w:ascii="Arial" w:cs="Arial" w:eastAsia="Arial" w:hAnsi="Arial"/>
          <w:sz w:val="22"/>
          <w:szCs w:val="22"/>
        </w:rPr>
        <w:t xml:space="preserve">Correlation ≠ Causation: The analytics engine surfaces correlations, not causal relationships. Confounding variables (socioeconomic status, sleep patterns, extracurricular load) are not yet controlled for in the correlation model.</w:t>
      </w:r>
    </w:p>
    <w:p>
      <w:pPr>
        <w:pStyle w:val="ListParagraph"/>
        <w:numPr>
          <w:ilvl w:val="0"/>
          <w:numId w:val="2"/>
        </w:numPr>
        <w:spacing w:after="80"/>
      </w:pPr>
      <w:r>
        <w:rPr>
          <w:rFonts w:ascii="Arial" w:cs="Arial" w:eastAsia="Arial" w:hAnsi="Arial"/>
          <w:sz w:val="22"/>
          <w:szCs w:val="22"/>
        </w:rPr>
        <w:t xml:space="preserve">Self-Reported Data Reliability: Meal logging depends on honest, accurate student self-reporting. The system includes anomaly detection planning (Version 2.0) but Version 1.0 is vulnerable to implausible or fabricated entries.</w:t>
      </w:r>
    </w:p>
    <w:p>
      <w:pPr>
        <w:pStyle w:val="ListParagraph"/>
        <w:numPr>
          <w:ilvl w:val="0"/>
          <w:numId w:val="2"/>
        </w:numPr>
        <w:spacing w:after="80"/>
      </w:pPr>
      <w:r>
        <w:rPr>
          <w:rFonts w:ascii="Arial" w:cs="Arial" w:eastAsia="Arial" w:hAnsi="Arial"/>
          <w:sz w:val="22"/>
          <w:szCs w:val="22"/>
        </w:rPr>
        <w:t xml:space="preserve">Connectivity Dependency: Version 1.0 requires an active internet connection. Offline mode is planned for Version 1.3, meaning students in rural schools with intermittent connectivity may face access barriers in the interim.</w:t>
      </w:r>
    </w:p>
    <w:p>
      <w:pPr>
        <w:pStyle w:val="ListParagraph"/>
        <w:numPr>
          <w:ilvl w:val="0"/>
          <w:numId w:val="2"/>
        </w:numPr>
        <w:spacing w:after="80"/>
      </w:pPr>
      <w:r>
        <w:rPr>
          <w:rFonts w:ascii="Arial" w:cs="Arial" w:eastAsia="Arial" w:hAnsi="Arial"/>
          <w:sz w:val="22"/>
          <w:szCs w:val="22"/>
        </w:rPr>
        <w:t xml:space="preserve">Food Database Completeness: While the 800+ item Sri Lanka Food Database is a significant achievement, it cannot cover every regional variation, home-cooked dish, or seasonal food item. Nutritional estimates for unlisted items will require manual entry or inference.</w:t>
      </w:r>
    </w:p>
    <w:p>
      <w:pPr>
        <w:pStyle w:val="ListParagraph"/>
        <w:numPr>
          <w:ilvl w:val="0"/>
          <w:numId w:val="2"/>
        </w:numPr>
        <w:spacing w:after="80"/>
      </w:pPr>
      <w:r>
        <w:rPr>
          <w:rFonts w:ascii="Arial" w:cs="Arial" w:eastAsia="Arial" w:hAnsi="Arial"/>
          <w:sz w:val="22"/>
          <w:szCs w:val="22"/>
        </w:rPr>
        <w:t xml:space="preserve">No Parent Visibility (v1.0): The parent portal is planned for Version 1.2. Until then, guardians have no direct visibility into health and academic trend data, limiting the three-way accountability loop.</w:t>
      </w:r>
    </w:p>
    <w:p>
      <w:pPr>
        <w:spacing w:after="160"/>
      </w:pPr>
      <w:r>
        <w:t xml:space="preserve"/>
      </w:r>
    </w:p>
    <w:p>
      <w:pPr>
        <w:pStyle w:val="Heading1"/>
        <w:pBdr>
          <w:bottom w:val="single" w:color="2E75B6" w:sz="8" w:space="6"/>
        </w:pBdr>
        <w:spacing w:after="120" w:before="360"/>
      </w:pPr>
      <w:r>
        <w:rPr>
          <w:rFonts w:ascii="Arial" w:cs="Arial" w:eastAsia="Arial" w:hAnsi="Arial"/>
          <w:b/>
          <w:bCs/>
          <w:color w:val="1F4E79"/>
          <w:sz w:val="32"/>
          <w:szCs w:val="32"/>
        </w:rPr>
        <w:t xml:space="preserve">11. Future Work</w:t>
      </w:r>
    </w:p>
    <w:p>
      <w:pPr>
        <w:pStyle w:val="Heading2"/>
        <w:spacing w:after="80" w:before="240"/>
      </w:pPr>
      <w:r>
        <w:rPr>
          <w:rFonts w:ascii="Arial" w:cs="Arial" w:eastAsia="Arial" w:hAnsi="Arial"/>
          <w:b/>
          <w:bCs/>
          <w:color w:val="2E75B6"/>
          <w:sz w:val="26"/>
          <w:szCs w:val="26"/>
        </w:rPr>
        <w:t xml:space="preserve">Version 1.1 — Photo Meal Logging</w:t>
      </w:r>
    </w:p>
    <w:p>
      <w:pPr>
        <w:spacing w:after="100"/>
      </w:pPr>
      <w:r>
        <w:rPr>
          <w:rFonts w:ascii="Arial" w:cs="Arial" w:eastAsia="Arial" w:hAnsi="Arial"/>
          <w:sz w:val="22"/>
          <w:szCs w:val="22"/>
        </w:rPr>
        <w:t xml:space="preserve">Activate the stubbed photo log field; integrate computer vision (image recognition for food identification) to reduce text-entry friction and improve data accuracy.</w:t>
      </w:r>
    </w:p>
    <w:p>
      <w:pPr>
        <w:pStyle w:val="Heading2"/>
        <w:spacing w:after="80" w:before="240"/>
      </w:pPr>
      <w:r>
        <w:rPr>
          <w:rFonts w:ascii="Arial" w:cs="Arial" w:eastAsia="Arial" w:hAnsi="Arial"/>
          <w:b/>
          <w:bCs/>
          <w:color w:val="2E75B6"/>
          <w:sz w:val="26"/>
          <w:szCs w:val="26"/>
        </w:rPr>
        <w:t xml:space="preserve">Version 1.2 — Parent Portal</w:t>
      </w:r>
    </w:p>
    <w:p>
      <w:pPr>
        <w:spacing w:after="100"/>
      </w:pPr>
      <w:r>
        <w:rPr>
          <w:rFonts w:ascii="Arial" w:cs="Arial" w:eastAsia="Arial" w:hAnsi="Arial"/>
          <w:sz w:val="22"/>
          <w:szCs w:val="22"/>
        </w:rPr>
        <w:t xml:space="preserve">Read-only parent dashboard providing visibility into health trends and academic trajectory between formal report card cycles — creating a three-way accountability loop between student, teacher, and parent.</w:t>
      </w:r>
    </w:p>
    <w:p>
      <w:pPr>
        <w:pStyle w:val="Heading2"/>
        <w:spacing w:after="80" w:before="240"/>
      </w:pPr>
      <w:r>
        <w:rPr>
          <w:rFonts w:ascii="Arial" w:cs="Arial" w:eastAsia="Arial" w:hAnsi="Arial"/>
          <w:b/>
          <w:bCs/>
          <w:color w:val="2E75B6"/>
          <w:sz w:val="26"/>
          <w:szCs w:val="26"/>
        </w:rPr>
        <w:t xml:space="preserve">Version 1.3 — Offline Mode</w:t>
      </w:r>
    </w:p>
    <w:p>
      <w:pPr>
        <w:spacing w:after="100"/>
      </w:pPr>
      <w:r>
        <w:rPr>
          <w:rFonts w:ascii="Arial" w:cs="Arial" w:eastAsia="Arial" w:hAnsi="Arial"/>
          <w:sz w:val="22"/>
          <w:szCs w:val="22"/>
        </w:rPr>
        <w:t xml:space="preserve">Lightweight offline capability enabling meal logging without active connectivity, with local storage and automatic background sync when connection resumes — critical for equitable rural access.</w:t>
      </w:r>
    </w:p>
    <w:p>
      <w:pPr>
        <w:pStyle w:val="Heading2"/>
        <w:spacing w:after="80" w:before="240"/>
      </w:pPr>
      <w:r>
        <w:rPr>
          <w:rFonts w:ascii="Arial" w:cs="Arial" w:eastAsia="Arial" w:hAnsi="Arial"/>
          <w:b/>
          <w:bCs/>
          <w:color w:val="2E75B6"/>
          <w:sz w:val="26"/>
          <w:szCs w:val="26"/>
        </w:rPr>
        <w:t xml:space="preserve">Version 2.0 — AI-Powered Coaching &amp; Predictive Analytics</w:t>
      </w:r>
    </w:p>
    <w:p>
      <w:pPr>
        <w:spacing w:after="100"/>
      </w:pPr>
      <w:r>
        <w:rPr>
          <w:rFonts w:ascii="Arial" w:cs="Arial" w:eastAsia="Arial" w:hAnsi="Arial"/>
          <w:sz w:val="22"/>
          <w:szCs w:val="22"/>
        </w:rPr>
        <w:t xml:space="preserve">LLM-powered personalised nutrition coaching (conversational, context-aware); ML-based predictive flagging to forecast academic risk before decline becomes visible in grades; anomaly detection for implausible meal logging behaviour.</w:t>
      </w:r>
    </w:p>
    <w:p>
      <w:pPr>
        <w:pStyle w:val="Heading2"/>
        <w:spacing w:after="80" w:before="240"/>
      </w:pPr>
      <w:r>
        <w:rPr>
          <w:rFonts w:ascii="Arial" w:cs="Arial" w:eastAsia="Arial" w:hAnsi="Arial"/>
          <w:b/>
          <w:bCs/>
          <w:color w:val="2E75B6"/>
          <w:sz w:val="26"/>
          <w:szCs w:val="26"/>
        </w:rPr>
        <w:t xml:space="preserve">National Scalability</w:t>
      </w:r>
    </w:p>
    <w:p>
      <w:pPr>
        <w:spacing w:after="100"/>
      </w:pPr>
      <w:r>
        <w:rPr>
          <w:rFonts w:ascii="Arial" w:cs="Arial" w:eastAsia="Arial" w:hAnsi="Arial"/>
          <w:sz w:val="22"/>
          <w:szCs w:val="22"/>
        </w:rPr>
        <w:t xml:space="preserve">National integration with the Ministry of Education EMIS and the Department of Examinations grading systems; expansion to primary school students (Grades 1–5) with appropriate WHO BMI reference standards; population-level nutritional epidemiology research dataset for Sri Lanka.</w:t>
      </w:r>
    </w:p>
    <w:p>
      <w:pPr>
        <w:pStyle w:val="Heading2"/>
        <w:spacing w:after="80" w:before="240"/>
      </w:pPr>
      <w:r>
        <w:rPr>
          <w:rFonts w:ascii="Arial" w:cs="Arial" w:eastAsia="Arial" w:hAnsi="Arial"/>
          <w:b/>
          <w:bCs/>
          <w:color w:val="2E75B6"/>
          <w:sz w:val="26"/>
          <w:szCs w:val="26"/>
        </w:rPr>
        <w:t xml:space="preserve">Digital Twins in Education</w:t>
      </w:r>
    </w:p>
    <w:p>
      <w:pPr>
        <w:spacing w:after="100"/>
      </w:pPr>
      <w:r>
        <w:rPr>
          <w:rFonts w:ascii="Arial" w:cs="Arial" w:eastAsia="Arial" w:hAnsi="Arial"/>
          <w:sz w:val="22"/>
          <w:szCs w:val="22"/>
        </w:rPr>
        <w:t xml:space="preserve">Long-term: SNPOS's combination of daily nutritional data, biometric vitals, and academic performance records is a foundation for Digital Twin modelling — enabling educators to simulate intervention outcomes for individual students.</w:t>
      </w:r>
    </w:p>
    <w:p>
      <w:pPr>
        <w:spacing w:after="160"/>
      </w:pPr>
      <w:r>
        <w:t xml:space="preserve"/>
      </w:r>
    </w:p>
    <w:p>
      <w:pPr>
        <w:pStyle w:val="Heading1"/>
        <w:pBdr>
          <w:bottom w:val="single" w:color="2E75B6" w:sz="8" w:space="6"/>
        </w:pBdr>
        <w:spacing w:after="120" w:before="360"/>
      </w:pPr>
      <w:r>
        <w:rPr>
          <w:rFonts w:ascii="Arial" w:cs="Arial" w:eastAsia="Arial" w:hAnsi="Arial"/>
          <w:b/>
          <w:bCs/>
          <w:color w:val="1F4E79"/>
          <w:sz w:val="32"/>
          <w:szCs w:val="32"/>
        </w:rPr>
        <w:t xml:space="preserve">12. Presentation Strategy Highlights</w:t>
      </w:r>
    </w:p>
    <w:p>
      <w:pPr>
        <w:spacing w:after="100"/>
      </w:pPr>
      <w:r>
        <w:rPr>
          <w:rFonts w:ascii="Arial" w:cs="Arial" w:eastAsia="Arial" w:hAnsi="Arial"/>
          <w:sz w:val="22"/>
          <w:szCs w:val="22"/>
        </w:rPr>
        <w:t xml:space="preserve">The following four elements are identified as the most powerful focal points for the award presentation:</w:t>
      </w:r>
    </w:p>
    <w:p>
      <w:pPr>
        <w:spacing w:after="160"/>
      </w:pPr>
      <w:r>
        <w:t xml:space="preserve"/>
      </w:r>
    </w:p>
    <w:tbl>
      <w:tblPr>
        <w:tblW w:type="dxa" w:w="9360"/>
        <w:tblBorders>
          <w:top w:val="none"/>
          <w:left w:val="none"/>
          <w:bottom w:val="none"/>
          <w:right w:val="none"/>
          <w:insideH w:val="single" w:color="auto" w:sz="4"/>
          <w:insideV w:val="single" w:color="auto" w:sz="4"/>
        </w:tblBorders>
      </w:tblPr>
      <w:tblGrid>
        <w:gridCol w:w="1440"/>
        <w:gridCol w:w="7920"/>
      </w:tblGrid>
      <w:tr>
        <w:tc>
          <w:tcPr>
            <w:tcW w:type="dxa" w:w="1440"/>
            <w:shd w:fill="1F4E79"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STRONGEST RESULT</w:t>
            </w:r>
          </w:p>
        </w:tc>
        <w:tc>
          <w:tcPr>
            <w:tcW w:type="dxa" w:w="7920"/>
            <w:shd w:fill="D6E4F0" w:val="clear"/>
            <w:tcMar>
              <w:top w:type="dxa" w:w="120"/>
              <w:left w:type="dxa" w:w="200"/>
              <w:bottom w:type="dxa" w:w="120"/>
              <w:right w:type="dxa" w:w="160"/>
            </w:tcMar>
          </w:tcPr>
          <w:p>
            <w:r>
              <w:rPr>
                <w:rFonts w:ascii="Arial" w:cs="Arial" w:eastAsia="Arial" w:hAnsi="Arial"/>
                <w:i/>
                <w:iCs/>
                <w:sz w:val="22"/>
                <w:szCs w:val="22"/>
              </w:rPr>
              <w:t xml:space="preserve">The Pearson correlation engine produces personalised insight at the individual student level — e.g., 'Kavya scores 12% higher on assessments in weeks with 5+ logged breakfasts.' This transforms an abstract nutrition-performance hypothesis into a concrete, named, measurable outcome visible to a classroom teacher.</w:t>
            </w:r>
          </w:p>
        </w:tc>
      </w:tr>
    </w:tbl>
    <w:p>
      <w:pPr>
        <w:spacing w:after="160"/>
      </w:pPr>
      <w:r>
        <w:t xml:space="preserve"/>
      </w:r>
    </w:p>
    <w:tbl>
      <w:tblPr>
        <w:tblW w:type="dxa" w:w="9360"/>
        <w:tblBorders>
          <w:top w:val="none"/>
          <w:left w:val="none"/>
          <w:bottom w:val="none"/>
          <w:right w:val="none"/>
          <w:insideH w:val="single" w:color="auto" w:sz="4"/>
          <w:insideV w:val="single" w:color="auto" w:sz="4"/>
        </w:tblBorders>
      </w:tblPr>
      <w:tblGrid>
        <w:gridCol w:w="1440"/>
        <w:gridCol w:w="7920"/>
      </w:tblGrid>
      <w:tr>
        <w:tc>
          <w:tcPr>
            <w:tcW w:type="dxa" w:w="1440"/>
            <w:shd w:fill="C7A200"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MOST SURPRISING FINDING</w:t>
            </w:r>
          </w:p>
        </w:tc>
        <w:tc>
          <w:tcPr>
            <w:tcW w:type="dxa" w:w="7920"/>
            <w:shd w:fill="FFF8DC" w:val="clear"/>
            <w:tcMar>
              <w:top w:type="dxa" w:w="120"/>
              <w:left w:type="dxa" w:w="200"/>
              <w:bottom w:type="dxa" w:w="120"/>
              <w:right w:type="dxa" w:w="160"/>
            </w:tcMar>
          </w:tcPr>
          <w:p>
            <w:r>
              <w:rPr>
                <w:rFonts w:ascii="Arial" w:cs="Arial" w:eastAsia="Arial" w:hAnsi="Arial"/>
                <w:i/>
                <w:iCs/>
                <w:sz w:val="22"/>
                <w:szCs w:val="22"/>
              </w:rPr>
              <w:t xml:space="preserve">No digital nutritional reference for Sri Lankan local foods exists in any form accessible to schools. The 800+ item Sri Lanka Food Database — covering rice varieties, dhal, hoppers, pol roti, string hoppers, and tropical fruits in Sinhala, Tamil, and English — is not a feature of SNPOS. It is an entirely new national asset that did not exist before this project.</w:t>
            </w:r>
          </w:p>
        </w:tc>
      </w:tr>
    </w:tbl>
    <w:p>
      <w:pPr>
        <w:spacing w:after="160"/>
      </w:pPr>
      <w:r>
        <w:t xml:space="preserve"/>
      </w:r>
    </w:p>
    <w:tbl>
      <w:tblPr>
        <w:tblW w:type="dxa" w:w="9360"/>
        <w:tblBorders>
          <w:top w:val="none"/>
          <w:left w:val="none"/>
          <w:bottom w:val="none"/>
          <w:right w:val="none"/>
          <w:insideH w:val="single" w:color="auto" w:sz="4"/>
          <w:insideV w:val="single" w:color="auto" w:sz="4"/>
        </w:tblBorders>
      </w:tblPr>
      <w:tblGrid>
        <w:gridCol w:w="1440"/>
        <w:gridCol w:w="7920"/>
      </w:tblGrid>
      <w:tr>
        <w:tc>
          <w:tcPr>
            <w:tcW w:type="dxa" w:w="1440"/>
            <w:shd w:fill="1F4E79"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MOST IMPORTANT CHART</w:t>
            </w:r>
          </w:p>
        </w:tc>
        <w:tc>
          <w:tcPr>
            <w:tcW w:type="dxa" w:w="7920"/>
            <w:shd w:fill="D6E4F0" w:val="clear"/>
            <w:tcMar>
              <w:top w:type="dxa" w:w="120"/>
              <w:left w:type="dxa" w:w="200"/>
              <w:bottom w:type="dxa" w:w="120"/>
              <w:right w:type="dxa" w:w="160"/>
            </w:tcMar>
          </w:tcPr>
          <w:p>
            <w:r>
              <w:rPr>
                <w:rFonts w:ascii="Arial" w:cs="Arial" w:eastAsia="Arial" w:hAnsi="Arial"/>
                <w:i/>
                <w:iCs/>
                <w:sz w:val="22"/>
                <w:szCs w:val="22"/>
              </w:rPr>
              <w:t xml:space="preserve">The Nutrition-Performance Correlation Heatmap (school-wide, by subject and grade level). This visualisation is the analytical centrepiece of SNPOS — it makes visible at a population level the relationship that has always existed but has never been measured. For a judge evaluating innovation impact, this chart is the single most compelling artefact.</w:t>
            </w:r>
          </w:p>
        </w:tc>
      </w:tr>
    </w:tbl>
    <w:p>
      <w:pPr>
        <w:spacing w:after="160"/>
      </w:pPr>
      <w:r>
        <w:t xml:space="preserve"/>
      </w:r>
    </w:p>
    <w:tbl>
      <w:tblPr>
        <w:tblW w:type="dxa" w:w="9360"/>
        <w:tblBorders>
          <w:top w:val="none"/>
          <w:left w:val="none"/>
          <w:bottom w:val="none"/>
          <w:right w:val="none"/>
          <w:insideH w:val="single" w:color="auto" w:sz="4"/>
          <w:insideV w:val="single" w:color="auto" w:sz="4"/>
        </w:tblBorders>
      </w:tblPr>
      <w:tblGrid>
        <w:gridCol w:w="1440"/>
        <w:gridCol w:w="7920"/>
      </w:tblGrid>
      <w:tr>
        <w:tc>
          <w:tcPr>
            <w:tcW w:type="dxa" w:w="1440"/>
            <w:shd w:fill="C7A200"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MOST PERSUASIVE STATISTIC</w:t>
            </w:r>
          </w:p>
        </w:tc>
        <w:tc>
          <w:tcPr>
            <w:tcW w:type="dxa" w:w="7920"/>
            <w:shd w:fill="FFF8DC" w:val="clear"/>
            <w:tcMar>
              <w:top w:type="dxa" w:w="120"/>
              <w:left w:type="dxa" w:w="200"/>
              <w:bottom w:type="dxa" w:w="120"/>
              <w:right w:type="dxa" w:w="160"/>
            </w:tcMar>
          </w:tcPr>
          <w:p>
            <w:r>
              <w:rPr>
                <w:rFonts w:ascii="Arial" w:cs="Arial" w:eastAsia="Arial" w:hAnsi="Arial"/>
                <w:i/>
                <w:iCs/>
                <w:sz w:val="22"/>
                <w:szCs w:val="22"/>
              </w:rPr>
              <w:t xml:space="preserve">Hydration deficits of just 1–2% body weight impair short-term memory and psychomotor performance. Students may go 8–10 hours without a balanced meal on typical school days. These are not theoretical risks — they are daily realities for Sri Lankan students. SNPOS is the first tool designed to make these risks visible and actionable inside a school.</w:t>
            </w:r>
          </w:p>
        </w:tc>
      </w:tr>
    </w:tbl>
    <w:p>
      <w:pPr>
        <w:spacing w:after="160"/>
      </w:pPr>
      <w:r>
        <w:t xml:space="preserve"/>
      </w:r>
    </w:p>
    <w:p>
      <w:pPr>
        <w:spacing w:before="480"/>
        <w:jc w:val="center"/>
      </w:pPr>
      <w:r>
        <w:rPr>
          <w:rFonts w:ascii="Arial" w:cs="Arial" w:eastAsia="Arial" w:hAnsi="Arial"/>
          <w:i/>
          <w:iCs/>
          <w:color w:val="999999"/>
          <w:sz w:val="18"/>
          <w:szCs w:val="18"/>
        </w:rPr>
        <w:t xml:space="preserve">Prepared by: Junior Academic Researcher &amp; Presentation Strategist  |  Based on SNPOS_Award_Submission.docx  |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999999"/>
        <w:sz w:val="16"/>
        <w:szCs w:val="16"/>
      </w:rPr>
      <w:t xml:space="preserve">Student Nutrition &amp; Performance Optimization System (SNPOS)  |  Sri Lanka  |  April 2026</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9360"/>
      </w:tabs>
    </w:pPr>
    <w:r>
      <w:rPr>
        <w:rFonts w:ascii="Arial" w:cs="Arial" w:eastAsia="Arial" w:hAnsi="Arial"/>
        <w:color w:val="2E75B6"/>
        <w:sz w:val="18"/>
        <w:szCs w:val="18"/>
      </w:rPr>
      <w:t xml:space="preserve">SNPOS — Research Summary</w:t>
    </w:r>
    <w:r>
      <w:rPr>
        <w:rFonts w:ascii="Arial" w:cs="Arial" w:eastAsia="Arial" w:hAnsi="Arial"/>
        <w:color w:val="999999"/>
        <w:sz w:val="18"/>
        <w:szCs w:val="18"/>
      </w:rPr>
      <w:t xml:space="preserve">	Confidential | Award Submission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2026-06-11T04:58:55.981Z</dcterms:created>
  <dcterms:modified xsi:type="dcterms:W3CDTF">2026-06-11T04:58:55.981Z</dcterms:modified>
</cp:coreProperties>
</file>

<file path=docProps/custom.xml><?xml version="1.0" encoding="utf-8"?>
<Properties xmlns="http://schemas.openxmlformats.org/officeDocument/2006/custom-properties" xmlns:vt="http://schemas.openxmlformats.org/officeDocument/2006/docPropsVTypes"/>
</file>