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b/>
          <w:bCs/>
          <w:sz w:val="40"/>
          <w:szCs w:val="40"/>
        </w:rPr>
        <w:t xml:space="preserve">A Multi-Signal, Co-Scheduling Autoscaling Framework</w:t>
      </w:r>
    </w:p>
    <w:p>
      <w:pPr>
        <w:spacing w:after="600"/>
        <w:jc w:val="center"/>
      </w:pPr>
      <w:r>
        <w:rPr>
          <w:b/>
          <w:bCs/>
          <w:sz w:val="40"/>
          <w:szCs w:val="40"/>
        </w:rPr>
        <w:t xml:space="preserve">with Adaptive Control for SLA-Driven Kubernetes Workloads</w:t>
      </w:r>
    </w:p>
    <w:p>
      <w:pPr>
        <w:spacing w:after="1000"/>
        <w:jc w:val="center"/>
      </w:pPr>
      <w:r>
        <w:rPr>
          <w:i/>
          <w:iCs/>
          <w:sz w:val="28"/>
          <w:szCs w:val="28"/>
        </w:rPr>
        <w:t xml:space="preserve">Research Proposal and Project Report</w:t>
      </w:r>
    </w:p>
    <w:p>
      <w:pPr>
        <w:spacing w:after="200"/>
        <w:jc w:val="center"/>
      </w:pPr>
      <w:r>
        <w:rPr>
          <w:b/>
          <w:bCs/>
          <w:sz w:val="24"/>
          <w:szCs w:val="24"/>
        </w:rPr>
        <w:t xml:space="preserve">Prepared by:</w:t>
      </w:r>
    </w:p>
    <w:p>
      <w:r>
        <w:t>Promex</w:t>
      </w:r>
    </w:p>
    <w:p>
      <w:pPr>
        <w:spacing w:after="100"/>
        <w:jc w:val="center"/>
      </w:pPr>
      <w:r>
        <w:rPr>
          <w:sz w:val="24"/>
          <w:szCs w:val="24"/>
        </w:rPr>
        <w:t>Diwyanjalee E.A.D.S.N. (214060C) — Module 1: Signal Fusion Lead</w:t>
      </w:r>
    </w:p>
    <w:p>
      <w:pPr>
        <w:spacing w:after="100"/>
        <w:jc w:val="center"/>
      </w:pPr>
      <w:r>
        <w:rPr>
          <w:sz w:val="24"/>
          <w:szCs w:val="24"/>
        </w:rPr>
        <w:t>Bandara K.G.R.U. (214030K) — Module 2: Co-Scheduling Lead</w:t>
      </w:r>
    </w:p>
    <w:p>
      <w:pPr>
        <w:spacing w:after="600"/>
        <w:jc w:val="center"/>
      </w:pPr>
      <w:r>
        <w:rPr>
          <w:sz w:val="24"/>
          <w:szCs w:val="24"/>
        </w:rPr>
        <w:t>Malalpola M.L.H.R. (214129X) — Module 3: Adaptive Control Lead</w:t>
      </w:r>
    </w:p>
    <w:p>
      <w:r>
        <w:t>Supervised by:</w:t>
      </w:r>
    </w:p>
    <w:p>
      <w:r>
        <w:t>Ms. M.N. Chandimali</w:t>
      </w:r>
    </w:p>
    <w:p>
      <w:r/>
    </w:p>
    <w:p>
      <w:pPr>
        <w:spacing w:after="100"/>
        <w:jc w:val="center"/>
      </w:pPr>
      <w:r>
        <w:rPr>
          <w:sz w:val="22"/>
          <w:szCs w:val="22"/>
        </w:rPr>
        <w:t>Faculty of Information Technology</w:t>
      </w:r>
    </w:p>
    <w:p>
      <w:r>
        <w:t>University of Moratuwa</w:t>
      </w:r>
    </w:p>
    <w:p>
      <w:pPr>
        <w:spacing w:after="1600"/>
        <w:jc w:val="center"/>
      </w:pPr>
      <w:r>
        <w:rPr>
          <w:sz w:val="22"/>
          <w:szCs w:val="22"/>
        </w:rPr>
        <w:t>2026</w:t>
      </w:r>
    </w:p>
    <w:p>
      <w:pPr>
        <w:pStyle w:val="Heading1"/>
        <w:pageBreakBefore/>
        <w:spacing w:after="200" w:before="240"/>
      </w:pPr>
      <w:r>
        <w:t xml:space="preserve">Abstract</w:t>
      </w:r>
    </w:p>
    <w:p>
      <w:pPr>
        <w:spacing w:after="160" w:line="276"/>
        <w:jc w:val="both"/>
      </w:pPr>
      <w:r>
        <w:t xml:space="preserve">Kubernetes has become the default platform for deploying and scaling containerized, SLA-driven applications, yet its built-in autoscalers remain limited in three specific ways: they typically react to a single infrastructure or application signal rather than a fused, SLA-aware view of demand; they scale without coordinating with the scheduler that places the resulting pods; and they rely on fixed thresholds, step sizes, and monitoring intervals that cannot adapt as workload behaviour changes over time.</w:t>
      </w:r>
    </w:p>
    <w:p>
      <w:pPr>
        <w:spacing w:after="160" w:line="276"/>
        <w:jc w:val="both"/>
      </w:pPr>
      <w:r>
        <w:t xml:space="preserve">This project proposes an integrated three-module framework — multi-signal fusion, placement-aware co-scheduling, and adaptive parameter control — designed to close these gaps within a single, coherent control loop. A structured review of current Kubernetes autoscaling literature (2018–2026, weighted toward 2023–2026) confirms that each gap is individually documented, but no existing framework combines all three mechanisms and evaluates their individual and combined contribution — a synthesis gap this project treats as its central contribution.</w:t>
      </w:r>
    </w:p>
    <w:p>
      <w:pPr>
        <w:spacing w:after="160" w:line="276"/>
        <w:jc w:val="both"/>
      </w:pPr>
      <w:r>
        <w:t xml:space="preserve">Using a Design Science Research approach, the project designs, implements, and evaluates the framework through a controlled, repeated-measures ablation experiment against the Horizontal Pod Autoscaler (HPA) and KEDA as baselines, across steady-state, bursty, and stateful/inference-style workloads. Expected outcomes include improved SLA compliance, reduced control oscillation, and a quantified breakdown of each module's individual and combined contribution. Beyond the artifact itself, the project contributes a reusable, statistically grounded evaluation protocol for integrated autoscaling research — directly addressing a documented weakness in the wider literature, where evaluation practices remain inconsistent and rarely isolate individual mechanisms through ablation.</w:t>
      </w:r>
    </w:p>
    <w:p>
      <w:pPr>
        <w:spacing w:after="160" w:line="276"/>
        <w:jc w:val="both"/>
      </w:pPr>
      <w:r>
        <w:rPr>
          <w:b/>
          <w:bCs/>
        </w:rPr>
        <w:t xml:space="preserve">Keywords: </w:t>
      </w:r>
      <w:r>
        <w:t xml:space="preserve">Kubernetes, autoscaling, SLA, multi-signal fusion, co-scheduling, adaptive control, ablation study, Design Science Research.</w:t>
      </w:r>
    </w:p>
    <w:p>
      <w:pPr>
        <w:pStyle w:val="Heading1"/>
        <w:pageBreakBefore/>
        <w:spacing w:after="20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fldChar w:fldCharType="begin"/>
      </w:r>
      <w:r>
        <w:instrText xml:space="preserve"> TOC \o "1-3" \h \z \u </w:instrText>
      </w:r>
      <w:r>
        <w:fldChar w:fldCharType="separate"/>
      </w:r>
      <w:r>
        <w:t>Right-click here and choose "Update Field" (or select all and press F9) to generate the table of contents.</w:t>
      </w:r>
      <w:r>
        <w:fldChar w:fldCharType="end"/>
      </w:r>
    </w:p>
    <w:p>
      <w:pPr>
        <w:pStyle w:val="Heading1"/>
        <w:pageBreakBefore/>
        <w:spacing w:after="200" w:before="240"/>
      </w:pPr>
      <w:r>
        <w:t xml:space="preserve">Chapter 1: Introduction</w:t>
      </w:r>
    </w:p>
    <w:p>
      <w:pPr>
        <w:pStyle w:val="Heading2"/>
        <w:spacing w:after="140" w:before="280"/>
      </w:pPr>
      <w:r>
        <w:t xml:space="preserve">1.1 Background and Motivation</w:t>
      </w:r>
    </w:p>
    <w:p>
      <w:pPr>
        <w:spacing w:after="160" w:line="276"/>
        <w:jc w:val="both"/>
      </w:pPr>
      <w:r>
        <w:t xml:space="preserve">Cloud-native computing has made Kubernetes the dominant platform for deploying containerized applications at scale. Organizations rely on Kubernetes not only to run services but to keep them within committed Service Level Agreements (SLAs) while controlling infrastructure cost — a balance that depends heavily on autoscaling: the automatic adjustment of the number of running application replicas, and less commonly their resource allocations, in response to demand.</w:t>
      </w:r>
    </w:p>
    <w:p>
      <w:pPr>
        <w:spacing w:after="160" w:line="276"/>
        <w:jc w:val="both"/>
      </w:pPr>
      <w:r>
        <w:t xml:space="preserve">Kubernetes ships with several built-in autoscaling mechanisms. The Horizontal Pod Autoscaler (HPA) adjusts replica counts based on observed metrics against a target threshold; the Vertical Pod Autoscaler (VPA) resizes individual pods' resource requests; the Cluster Autoscaler adds or removes nodes; and KEDA (Kubernetes Event-Driven Autoscaling) extends HPA to scale on external event sources such as message-queue depth. Each mechanism operates largely independently, and each is configured with parameters — thresholds, target utilization, cooldown windows — that are set once by an operator and rarely revisited.</w:t>
      </w:r>
    </w:p>
    <w:p>
      <w:pPr>
        <w:spacing w:after="160" w:line="276"/>
        <w:jc w:val="both"/>
      </w:pPr>
      <w:r>
        <w:t xml:space="preserve">This arrangement has three well-documented weaknesses. First, scaling decisions are usually driven by a single signal, most commonly CPU utilization, even though CPU is a lagging indicator that tends to rise only after user-facing latency has already begun to degrade. Application-level signals such as queue backlog have been shown to sharply reduce SLA violations compared with CPU-only scaling, but even these approaches typically use one signal at a time rather than fusing several complementary signals into a single SLA-aware decision score.</w:t>
      </w:r>
    </w:p>
    <w:p>
      <w:pPr>
        <w:spacing w:after="160" w:line="276"/>
        <w:jc w:val="both"/>
      </w:pPr>
      <w:r>
        <w:t xml:space="preserve">Second, the autoscaler and the scheduler that places newly created pods act independently. The autoscaler decides how many replicas are needed; Kubernetes' default scheduler then places them using its own scoring function, with no information about why the scaling event occurred. Even well-designed hybrid autoscaling systems have explicitly left this coordination out of scope, naming it as an open direction for future work — a gap this project treats as central rather than peripheral.</w:t>
      </w:r>
    </w:p>
    <w:p>
      <w:pPr>
        <w:spacing w:after="160" w:line="276"/>
        <w:jc w:val="both"/>
      </w:pPr>
      <w:r>
        <w:t xml:space="preserve">Third, control parameters remain static. Thresholds, scaling step sizes, and monitoring intervals are typically fixed at deployment time and do not adapt as workload patterns change, producing two familiar failure modes: over- or under-provisioning once a fixed threshold no longer matches current demand, and oscillation (“thrashing”) when the system repeatedly scales up and down in response to noise around that threshold. Even very recent proactive frameworks that use deep reinforcement learning and demand forecasting have been found to retain a fixed decision interval and a fixed, narrow action space, with their own authors identifying this as an unresolved limitation.</w:t>
      </w:r>
    </w:p>
    <w:p>
      <w:pPr>
        <w:spacing w:after="160" w:line="276"/>
        <w:jc w:val="both"/>
      </w:pPr>
      <w:r>
        <w:t xml:space="preserve">Individually, each of these weaknesses degrades SLA compliance or wastes resources. Together, they compound: a correctly detected scaling need can still be undermined by poor placement, and a well-placed pod can still arrive too late or too often because the controller that requested it cannot adapt its own behaviour. No framework identified in the reviewed literature integrates signal fusion, placement-aware co-scheduling, and adaptive parameter control into a single, evaluated system. This is the gap this project addresses.</w:t>
      </w:r>
    </w:p>
    <w:p>
      <w:pPr>
        <w:pStyle w:val="Heading2"/>
        <w:spacing w:after="140" w:before="280"/>
      </w:pPr>
      <w:r>
        <w:t xml:space="preserve">1.2 Problem Statement</w:t>
      </w:r>
    </w:p>
    <w:p>
      <w:pPr>
        <w:spacing w:after="160" w:line="276"/>
        <w:jc w:val="both"/>
      </w:pPr>
      <w:r>
        <w:t xml:space="preserve">SLA-driven workloads on Kubernetes require autoscaling that detects service pressure early, places new replicas where they can serve traffic immediately, and adjusts its own control behaviour as workload patterns shift. In practice, none of Kubernetes' default mechanisms deliver all three properties together.</w:t>
      </w:r>
    </w:p>
    <w:p>
      <w:pPr>
        <w:spacing w:after="160" w:line="276"/>
        <w:jc w:val="both"/>
      </w:pPr>
      <w:r>
        <w:t xml:space="preserve">Existing work illustrates each gap individually. Signal-based studies show that moving beyond CPU-only scaling substantially improves SLA outcomes, yet no framework in the reviewed literature fuses backlog, CPU utilization, and latency percentiles into a single, unified decision score (Gap 1 — Signal Fusion). Hybrid autoscaling systems improve responsiveness but explicitly exclude coordination with pod placement, leaving cold starts, cache misses, and load imbalance unaddressed even when the scaling decision itself is correct (Gap 2 — Co-Scheduling). And even the most recent proactive, learning-based autoscalers retain fixed decision intervals and narrow, fixed action spaces, reproducing the static-parameter problem in a new form (Gap 3 — Adaptive Control).</w:t>
      </w:r>
    </w:p>
    <w:p>
      <w:pPr>
        <w:spacing w:after="160" w:line="276"/>
        <w:jc w:val="both"/>
      </w:pPr>
      <w:r>
        <w:t xml:space="preserve">The consequence is that these three failures compound rather than cancel out, and no framework in the reviewed literature integrates all three mechanisms into one architecture evaluated as a whole. The closest comparable system fuses multiple signals and issues a lightweight placement hint, but implements neither true placement scoring nor self-tuning control, and does not isolate what each mechanism individually contributes to performance.</w:t>
      </w:r>
    </w:p>
    <w:p>
      <w:pPr>
        <w:spacing w:after="160" w:line="276"/>
        <w:jc w:val="both"/>
      </w:pPr>
      <w:r>
        <w:rPr>
          <w:b/>
          <w:bCs/>
        </w:rPr>
        <w:t xml:space="preserve">Problem statement: </w:t>
      </w:r>
      <w:r>
        <w:rPr>
          <w:i/>
          <w:iCs/>
        </w:rPr>
        <w:t xml:space="preserve">There is currently no unified, empirically validated Kubernetes autoscaling framework that fuses backlog, CPU, and latency-percentile signals, couples scaling decisions to pod placement, and adaptively tunes its own control parameters to maintain SLA compliance under changing workloads.</w:t>
      </w:r>
    </w:p>
    <w:p>
      <w:pPr>
        <w:pStyle w:val="Heading2"/>
        <w:spacing w:after="140" w:before="280"/>
      </w:pPr>
      <w:r>
        <w:t xml:space="preserve">1.3 Research Questions</w:t>
      </w:r>
    </w:p>
    <w:p>
      <w:pPr>
        <w:spacing w:after="160" w:line="276"/>
        <w:jc w:val="both"/>
      </w:pPr>
      <w:r>
        <w:rPr>
          <w:b/>
          <w:bCs/>
        </w:rPr>
        <w:t xml:space="preserve">Main Research Question: </w:t>
      </w:r>
      <w:r>
        <w:t xml:space="preserve">To what extent does an integrated autoscaling framework — combining multi-signal fusion, placement-aware co-scheduling, and adaptive parameter control — improve SLA compliance and cost efficiency for Kubernetes-hosted workloads, compared to existing autoscalers such as the Horizontal Pod Autoscaler (HPA) and KEDA?</w:t>
      </w:r>
    </w:p>
    <w:p>
      <w:pPr>
        <w:spacing w:after="160" w:line="276"/>
        <w:jc w:val="both"/>
      </w:pPr>
      <w:r>
        <w:rPr>
          <w:b/>
          <w:bCs/>
        </w:rPr>
        <w:t xml:space="preserve">Sub-Research Questions:</w:t>
      </w:r>
    </w:p>
    <w:p>
      <w:pPr>
        <w:spacing w:after="140" w:line="276"/>
        <w:jc w:val="both"/>
      </w:pPr>
      <w:r>
        <w:rPr>
          <w:b/>
          <w:bCs/>
        </w:rPr>
        <w:t xml:space="preserve">1. </w:t>
      </w:r>
      <w:r>
        <w:t xml:space="preserve">How can backlog, CPU utilization, and latency-percentile metrics be combined into a single SLA-aware scaling-decision score, and how does this fused score compare to single-metric CPU-based scaling in detecting SLA risk early?</w:t>
      </w:r>
    </w:p>
    <w:p>
      <w:pPr>
        <w:spacing w:after="140" w:line="276"/>
        <w:jc w:val="both"/>
      </w:pPr>
      <w:r>
        <w:rPr>
          <w:b/>
          <w:bCs/>
        </w:rPr>
        <w:t xml:space="preserve">2. </w:t>
      </w:r>
      <w:r>
        <w:t xml:space="preserve">How does coupling pod placement to the cause of a scaling decision (co-scheduling) affect resource utilization, cold-start delay, and load balance, compared to the default Kubernetes scheduler acting independently of the autoscaler?</w:t>
      </w:r>
    </w:p>
    <w:p>
      <w:pPr>
        <w:spacing w:after="140" w:line="276"/>
        <w:jc w:val="both"/>
      </w:pPr>
      <w:r>
        <w:rPr>
          <w:b/>
          <w:bCs/>
        </w:rPr>
        <w:t xml:space="preserve">3. </w:t>
      </w:r>
      <w:r>
        <w:t xml:space="preserve">How does an adaptive control mechanism that automatically adjusts scaling thresholds, step size, and monitoring interval affect control stability and SLA compliance, compared to fixed-parameter autoscaling?</w:t>
      </w:r>
    </w:p>
    <w:p>
      <w:pPr>
        <w:spacing w:after="140" w:line="276"/>
        <w:jc w:val="both"/>
      </w:pPr>
      <w:r>
        <w:rPr>
          <w:b/>
          <w:bCs/>
        </w:rPr>
        <w:t xml:space="preserve">4. </w:t>
      </w:r>
      <w:r>
        <w:t xml:space="preserve">What is the separate and combined contribution of signal fusion, co-scheduling, and adaptive control to overall SLA compliance, as measured through an ablation study that tests each module alone and all three together?</w:t>
      </w:r>
    </w:p>
    <w:p>
      <w:pPr>
        <w:spacing w:after="140" w:line="276"/>
        <w:jc w:val="both"/>
      </w:pPr>
      <w:r>
        <w:rPr>
          <w:b/>
          <w:bCs/>
        </w:rPr>
        <w:t xml:space="preserve">5. </w:t>
      </w:r>
      <w:r>
        <w:t xml:space="preserve">How consistent are the framework's SLA compliance and cost performance across different workload patterns, such as steady-state traffic, bursty traffic, and at least one stateful or inference-style workload?</w:t>
      </w:r>
    </w:p>
    <w:p>
      <w:pPr>
        <w:pStyle w:val="Heading2"/>
        <w:spacing w:after="140" w:before="280"/>
      </w:pPr>
      <w:r>
        <w:t xml:space="preserve">1.4 Research Objectives</w:t>
      </w:r>
    </w:p>
    <w:p>
      <w:pPr>
        <w:spacing w:after="160" w:line="276"/>
        <w:jc w:val="both"/>
      </w:pPr>
      <w:r>
        <w:rPr>
          <w:b/>
          <w:bCs/>
        </w:rPr>
        <w:t xml:space="preserve">Main Objective: </w:t>
      </w:r>
      <w:r>
        <w:t xml:space="preserve">To design, implement, and evaluate an integrated Kubernetes autoscaling framework that combines multi-signal fusion, placement-aware co-scheduling, and adaptive parameter control, and to measure its effect on SLA compliance and cost efficiency compared to existing autoscalers.</w:t>
      </w:r>
    </w:p>
    <w:p>
      <w:pPr>
        <w:spacing w:after="160" w:line="276"/>
        <w:jc w:val="both"/>
      </w:pPr>
      <w:r>
        <w:rPr>
          <w:b/>
          <w:bCs/>
        </w:rPr>
        <w:t xml:space="preserve">Specific Objectives:</w:t>
      </w:r>
    </w:p>
    <w:p>
      <w:pPr>
        <w:spacing w:after="140" w:line="276"/>
        <w:jc w:val="both"/>
      </w:pPr>
      <w:r>
        <w:rPr>
          <w:b/>
          <w:bCs/>
        </w:rPr>
        <w:t xml:space="preserve">1. </w:t>
      </w:r>
      <w:r>
        <w:t xml:space="preserve">To design and implement a signal-fusion model that combines backlog, CPU utilization, and latency-percentile metrics into a single SLA-aware scaling-decision score.</w:t>
      </w:r>
    </w:p>
    <w:p>
      <w:pPr>
        <w:spacing w:after="140" w:line="276"/>
        <w:jc w:val="both"/>
      </w:pPr>
      <w:r>
        <w:rPr>
          <w:b/>
          <w:bCs/>
        </w:rPr>
        <w:t xml:space="preserve">2. </w:t>
      </w:r>
      <w:r>
        <w:t xml:space="preserve">To design and implement a co-scheduling mechanism that places newly scaled pods based on the specific signal that triggered the scaling decision.</w:t>
      </w:r>
    </w:p>
    <w:p>
      <w:pPr>
        <w:spacing w:after="140" w:line="276"/>
        <w:jc w:val="both"/>
      </w:pPr>
      <w:r>
        <w:rPr>
          <w:b/>
          <w:bCs/>
        </w:rPr>
        <w:t xml:space="preserve">3. </w:t>
      </w:r>
      <w:r>
        <w:t xml:space="preserve">To design and implement an adaptive control mechanism that automatically adjusts scaling thresholds, step size, and monitoring interval based on observed scaling performance.</w:t>
      </w:r>
    </w:p>
    <w:p>
      <w:pPr>
        <w:spacing w:after="140" w:line="276"/>
        <w:jc w:val="both"/>
      </w:pPr>
      <w:r>
        <w:rPr>
          <w:b/>
          <w:bCs/>
        </w:rPr>
        <w:t xml:space="preserve">4. </w:t>
      </w:r>
      <w:r>
        <w:t xml:space="preserve">To conduct an ablation study that measures the separate and combined contribution of the three modules to SLA compliance, using consistent benchmarks and baseline comparisons against HPA and KEDA.</w:t>
      </w:r>
    </w:p>
    <w:p>
      <w:pPr>
        <w:spacing w:after="140" w:line="276"/>
        <w:jc w:val="both"/>
      </w:pPr>
      <w:r>
        <w:rPr>
          <w:b/>
          <w:bCs/>
        </w:rPr>
        <w:t xml:space="preserve">5. </w:t>
      </w:r>
      <w:r>
        <w:t xml:space="preserve">To test the framework under at least three workload patterns (steady-state, bursty, and one stateful or inference-style workload) and compare SLA compliance and cost performance across them.</w:t>
      </w:r>
    </w:p>
    <w:p>
      <w:pPr>
        <w:pStyle w:val="Heading2"/>
        <w:spacing w:after="140" w:before="280"/>
      </w:pPr>
      <w:r>
        <w:t xml:space="preserve">1.5 Significance of the Study</w:t>
      </w:r>
    </w:p>
    <w:p>
      <w:pPr>
        <w:spacing w:after="160" w:line="276"/>
        <w:jc w:val="both"/>
      </w:pPr>
      <w:r>
        <w:rPr>
          <w:b/>
          <w:bCs/>
        </w:rPr>
        <w:t xml:space="preserve">To researchers: </w:t>
      </w:r>
      <w:r>
        <w:t xml:space="preserve">this project provides the first ablation-based quantification of what multi-signal fusion, placement-aware co-scheduling, and adaptive control each contribute — individually and jointly — to SLA compliance in Kubernetes autoscaling. It also produces a reusable, statistically grounded evaluation protocol that extends existing elasticity metrics and testbed automation efforts.</w:t>
      </w:r>
    </w:p>
    <w:p>
      <w:pPr>
        <w:spacing w:after="160" w:line="276"/>
        <w:jc w:val="both"/>
      </w:pPr>
      <w:r>
        <w:rPr>
          <w:b/>
          <w:bCs/>
        </w:rPr>
        <w:t xml:space="preserve">To practitioners: </w:t>
      </w:r>
      <w:r>
        <w:t xml:space="preserve">the framework is designed to be incrementally adoptable alongside existing HPA and KEDA deployments rather than requiring a wholesale replacement, directly addressing the gap between academic proposals and what operations teams can realistically deploy.</w:t>
      </w:r>
    </w:p>
    <w:p>
      <w:pPr>
        <w:spacing w:after="160" w:line="276"/>
        <w:jc w:val="both"/>
      </w:pPr>
      <w:r>
        <w:rPr>
          <w:b/>
          <w:bCs/>
        </w:rPr>
        <w:t xml:space="preserve">To the wider platform community: </w:t>
      </w:r>
      <w:r>
        <w:t xml:space="preserve">the project's open evaluation design — multi-node, multi-workload, statistically reported — is offered as a template other integrated-autoscaling research can reuse, addressing a documented weakness in current evaluation practice.</w:t>
      </w:r>
    </w:p>
    <w:p>
      <w:pPr>
        <w:pStyle w:val="Heading2"/>
        <w:spacing w:after="140" w:before="280"/>
      </w:pPr>
      <w:r>
        <w:t xml:space="preserve">1.6 Scope and Delimitations</w:t>
      </w:r>
    </w:p>
    <w:p>
      <w:pPr>
        <w:spacing w:after="160" w:line="276"/>
        <w:jc w:val="both"/>
      </w:pPr>
      <w:r>
        <w:rPr>
          <w:b/>
          <w:bCs/>
        </w:rPr>
        <w:t xml:space="preserve">In scope: </w:t>
      </w:r>
      <w:r>
        <w:t xml:space="preserve">pod-level horizontal scaling; a dedicated, controlled multi-node Kubernetes cluster; three workload types (steady-state, bursty, and one stateful/inference-style workload); HPA and KEDA as comparison baselines; a five-arm ablation experiment.</w:t>
      </w:r>
    </w:p>
    <w:p>
      <w:pPr>
        <w:spacing w:after="160" w:line="276"/>
        <w:jc w:val="both"/>
      </w:pPr>
      <w:r>
        <w:rPr>
          <w:b/>
          <w:bCs/>
        </w:rPr>
        <w:t xml:space="preserve">Explicitly out of scope, and why: </w:t>
      </w:r>
      <w:r>
        <w:t xml:space="preserve">a multi-month production deployment (deferred as future work — the Time gap), multi-region or edge-computing evaluation (deferred — the Geographical gap), a full production-adoption trial with real operations teams (deferred — the Practical gap), and robustness to corrupted or adversarial input signals (deferred — a Variable/Concept gap). These are named here deliberately, as scoped decisions made for feasibility within a project timeline, not as oversights.</w:t>
      </w:r>
    </w:p>
    <w:p>
      <w:r>
        <w:t>Note on what was actually executed (added 2026-07-29): the live ablation study (Chapter 4, Finding 5) tested one workload type, not three. “Three workload types” was itself a drafting inconsistency in this project's own planning documents — only two were ever named anywhere (the Alibaba microservice-trace replay used here, and an Azure LLM Inference trace), and no third was ever specified. The Azure LLM trace was dropped because it had no faithful target on the TeaStore benchmark (no LLM-inference-shaped component to drive with it), and standing up a second benchmark application was assessed as an unjustified added risk given the development host's documented memory-constraint history (Chapter 5). This was an explicit, dated scope correction (2026-07-29), not a silent reduction — see Chapter 6, Section 6.2.</w:t>
      </w:r>
    </w:p>
    <w:p>
      <w:pPr>
        <w:pStyle w:val="Heading2"/>
        <w:spacing w:after="140" w:before="280"/>
      </w:pPr>
      <w:r>
        <w:t xml:space="preserve">1.7 Team Contribution Statement</w:t>
      </w:r>
    </w:p>
    <w:p>
      <w:pPr>
        <w:spacing w:after="160" w:line="276"/>
        <w:jc w:val="both"/>
      </w:pPr>
      <w:r>
        <w:t>This project is undertaken by a three-person team, with each member owning the design, implementation, and individual evaluation of one module: Diwyanjalee E.A.D.S.N. (214060C) leads Module 1 (Signal Fusion), Bandara K.G.R.U. (214030K) leads Module 2 (Co-Scheduling), and Malalpola M.L.H.R. (214129X) leads Module 3 (Adaptive Control). Each member is individually responsible for their module's design, implementation, and the corresponding single-module experimental arm (Sub-RQ 1, 2, or 3 respectively). Integration of the three modules, the full-framework and ablation experiments (Sub-RQ 4), the cross-workload evaluation (Sub-RQ 5), and the joint analysis and reporting are carried out collaboratively by all three members.</w:t>
      </w:r>
    </w:p>
    <w:p>
      <w:pPr>
        <w:pStyle w:val="Heading2"/>
        <w:spacing w:after="140" w:before="280"/>
      </w:pPr>
      <w:r>
        <w:t xml:space="preserve">1.8 Report Structure</w:t>
      </w:r>
    </w:p>
    <w:p>
      <w:pPr>
        <w:spacing w:after="160" w:line="276"/>
        <w:jc w:val="both"/>
      </w:pPr>
      <w:r>
        <w:t xml:space="preserve">Chapter 2 reviews the current literature on Kubernetes autoscaling, application-level observability, scheduling and placement, adaptive control, and evaluation methodology, and synthesizes this into the four research gaps this project addresses. Chapter 3 presents the research methodology, including the study design, framework architecture, implementation plan, sampling strategy, and data collection and analysis procedures. Chapter 4 sets out the findings the study is designed to establish and the contributions it is expected to make. Chapter 5 states the limitations of the design. Chapter 6 concludes the report and outlines future work.</w:t>
      </w:r>
    </w:p>
    <w:p>
      <w:pPr>
        <w:pStyle w:val="Heading1"/>
        <w:pageBreakBefore/>
        <w:spacing w:after="200" w:before="240"/>
      </w:pPr>
      <w:r>
        <w:t xml:space="preserve">Chapter 2: Literature Review</w:t>
      </w:r>
    </w:p>
    <w:p>
      <w:pPr>
        <w:pStyle w:val="Heading2"/>
        <w:spacing w:after="140" w:before="280"/>
      </w:pPr>
      <w:r>
        <w:t xml:space="preserve">2.1 Review Method</w:t>
      </w:r>
    </w:p>
    <w:p>
      <w:pPr>
        <w:spacing w:after="160" w:line="276"/>
        <w:jc w:val="both"/>
      </w:pPr>
      <w:r>
        <w:t xml:space="preserve">Sources were identified through Google Scholar, arXiv, IEEE Xplore, and ACM/Springer venue listings, using keyword clusters covering each module (e.g. “SLA-driven autoscaling Kubernetes”, “multi-signal autoscaling”, “co-scheduling Kubernetes”, “adaptive threshold autoscaling”, “reinforcement learning autoscaling Kubernetes”) and the evaluation methodology theme (“autoscaling elasticity metrics”, “autoscaler evaluation testbed”). The review window spans 2018–2026, weighted toward 2023–2026 given how quickly this field moves.</w:t>
      </w:r>
    </w:p>
    <w:p>
      <w:pPr>
        <w:spacing w:after="160" w:line="276"/>
        <w:jc w:val="both"/>
      </w:pPr>
      <w:r>
        <w:t xml:space="preserve">Each candidate source was screened for venue and peer-review status, and — where a full text was accessible — checked for consistency between its abstract's claims and its own reported results before being relied upon. This screening step mattered in practice: one 2026 preprint reviewed for this project (Section 2.6) claims “cost efficiency” in its abstract while its own results table reports the highest resource consumption and least stable behaviour of the systems it compares against. Findings from that source are therefore drawn from its results section, not its abstract, and this discrepancy is treated as a methodological lesson in its own right (Section 2.9).</w:t>
      </w:r>
    </w:p>
    <w:p>
      <w:pPr>
        <w:spacing w:after="160" w:line="276"/>
        <w:jc w:val="both"/>
      </w:pPr>
      <w:r>
        <w:t xml:space="preserve">Seven primary sources were selected as directly relevant to the framework's three modules and its evaluation design (summarised in the synthesis table, Section 2.10), supplemented by two foundational references that underpin the field's theoretical vocabulary: the five-family taxonomy of autoscaling techniques, and the reference control-loop model for self-managing systems.</w:t>
      </w:r>
    </w:p>
    <w:p>
      <w:pPr>
        <w:pStyle w:val="Heading2"/>
        <w:spacing w:after="140" w:before="280"/>
      </w:pPr>
      <w:r>
        <w:t xml:space="preserve">2.2 Kubernetes Autoscaling Fundamentals and Their Limitations</w:t>
      </w:r>
    </w:p>
    <w:p>
      <w:pPr>
        <w:spacing w:after="160" w:line="276"/>
        <w:jc w:val="both"/>
      </w:pPr>
      <w:r>
        <w:t xml:space="preserve">Kubernetes' default autoscaling mechanisms — the Horizontal Pod Autoscaler, Vertical Pod Autoscaler, Cluster Autoscaler, and KEDA — each automate one dimension of resource adjustment, but each operates on rule-based logic configured once at deployment. Lorido-Botran, Miguel-Alonso, and Lozano (2014), in a foundational review still widely cited in current work, classify auto-scaling techniques into five families: static threshold-based rules, control theory, reinforcement learning, queueing theory, and time-series analysis. This taxonomy remains a useful lens for the current literature: most production Kubernetes autoscalers still fall into the first family (static thresholds), while the research frontier has moved toward the latter four, often in combination.</w:t>
      </w:r>
    </w:p>
    <w:p>
      <w:pPr>
        <w:spacing w:after="160" w:line="276"/>
        <w:jc w:val="both"/>
      </w:pPr>
      <w:r>
        <w:t xml:space="preserve">Tamiru, Tordsson, Elmroth, and Pierre (2020) provide one of the more rigorous empirical evaluations of the Cluster Autoscaler specifically, comparing a single-node-pool configuration against a multi-pool configuration (CA-NAP) on Google Kubernetes Engine using the TeaStore benchmark. Their central finding — that autoscaler performance depends primarily on workload composition rather than on the autoscaler configuration alone — is a direct empirical motivation for this project's Sub-RQ 5, which tests the proposed framework across multiple distinct workload types rather than assuming results from one workload generalise to others. Their study also supplies the elasticity metric set (under- and over-provisioning timeshare, instability of elasticity, and deviation from a theoretical optimal autoscaler) adopted for this project's own evaluation design (Chapter 3).</w:t>
      </w:r>
    </w:p>
    <w:p>
      <w:pPr>
        <w:pStyle w:val="Heading2"/>
        <w:spacing w:after="140" w:before="280"/>
      </w:pPr>
      <w:r>
        <w:t xml:space="preserve">2.3 Multi-Signal Observability for Scaling Decisions</w:t>
      </w:r>
    </w:p>
    <w:p>
      <w:pPr>
        <w:spacing w:after="160" w:line="276"/>
        <w:jc w:val="both"/>
      </w:pPr>
      <w:r>
        <w:t xml:space="preserve">A consistent finding across recent work is that moving beyond CPU-only scaling improves SLA outcomes substantially. Vu, Tran, and Kim (2022) combine horizontal and vertical scaling with a Bi-LSTM demand forecaster and a burst-detection module, evaluated on a CPU-bound benchmark application against reactive, proactive, and burst-aware HPA baselines using two public workload traces (Wikipedia access logs and the FIFA World Cup 1998 trace). Their system reduces SLO violations from approximately 20–22% under reactive HPA during burst periods to approximately 2.96–3.89%, while also achieving lower normalised cost and higher pod utilisation than the proactive baselines. Notably, their own future-work section explicitly states that coordinating scaling with pod placement was left out of scope — a direct textual confirmation of this project's Gap 2 from a system that otherwise addresses signal-based scaling well.</w:t>
      </w:r>
    </w:p>
    <w:p>
      <w:pPr>
        <w:spacing w:after="160" w:line="276"/>
        <w:jc w:val="both"/>
      </w:pPr>
      <w:r>
        <w:t xml:space="preserve">A 2026 IEEE Access paper on business-aware, SLA-driven autoscaling takes a different single-signal approach: a deterministic mapping from queue-backlog depth to replica count, with SLA compliance defined directly via workload-backlog limits rather than an inferred proxy like CPU. The authors report up to an 86% reduction in SLA-violation rate compared with CPU-based autoscaling, alongside faster scaling response and reduced replica oscillation. This is strong evidence that a single, well-chosen application-level signal can outperform infrastructure metrics — but the approach remains single-signal and deterministic (non-adaptive), leaving open exactly the fusion and adaptation questions this project investigates.</w:t>
      </w:r>
    </w:p>
    <w:p>
      <w:pPr>
        <w:spacing w:after="160" w:line="276"/>
        <w:jc w:val="both"/>
      </w:pPr>
      <w:r>
        <w:t xml:space="preserve">Punniyamoorthy et al. (2025) go further toward multi-signal fusion with an AIOps-oriented, SLO-first framework explicitly designed to be “safe and explainable” — an important counterpoint to the reinforcement-learning approaches discussed in Section 2.6. Tested across bursty, queue-driven, and mixed latency-sensitive/batch workload patterns against default HPA, tuned HPA, and HPA+VPA baselines, their system reports up to a 31% reduction in cumulative SLO-violation duration, approximately 24% faster scaling response, and 18% lower cost than default HPA (10% lower than tuned HPA), with comparable or better stability. As the closest existing system to the framework proposed here, it is discussed further in Section 2.10 as the primary point of comparison for this project's novelty claim.</w:t>
      </w:r>
    </w:p>
    <w:p>
      <w:pPr>
        <w:spacing w:after="160" w:line="276"/>
        <w:jc w:val="both"/>
      </w:pPr>
      <w:r>
        <w:t xml:space="preserve">Read together, these three studies establish that (a) application-level signals outperform CPU alone, and (b) combining several signals with SLO-first prioritisation improves outcomes further — but none formally validates a principled fusion function that jointly incorporates backlog, CPU utilization, and latency percentiles with a stated method for weighting or combining them. This is Gap 1, addressed by this project's Module 1.</w:t>
      </w:r>
    </w:p>
    <w:p>
      <w:pPr>
        <w:pStyle w:val="Heading2"/>
        <w:spacing w:after="140" w:before="280"/>
      </w:pPr>
      <w:r>
        <w:t xml:space="preserve">2.4 Scheduling and Pod Placement</w:t>
      </w:r>
    </w:p>
    <w:p>
      <w:pPr>
        <w:spacing w:after="160" w:line="276"/>
        <w:jc w:val="both"/>
      </w:pPr>
      <w:r>
        <w:t xml:space="preserve">Kubernetes' default scheduler places pods using a filter-and-score cycle that evaluates node resource availability, affinity and anti-affinity rules, and topology constraints, but it has no visibility into why a pod was created — whether in response to a CPU spike, a backlog surge, or a latency-percentile breach. This is a structural property of Kubernetes' design: the autoscaler and the scheduler are separate control loops that communicate only through the number of pod replicas, not through the reasoning behind that number. Because optimal placement (bin-packing across heterogeneous nodes) is a combinatorial, NP-hard problem in general, most schedulers — default and custom alike — rely on heuristic scoring functions rather than provably optimal assignment.</w:t>
      </w:r>
    </w:p>
    <w:p>
      <w:pPr>
        <w:pStyle w:val="Heading2"/>
        <w:spacing w:after="140" w:before="280"/>
      </w:pPr>
      <w:r>
        <w:t xml:space="preserve">2.5 Coupling Autoscaling and Scheduling: Co-Optimization</w:t>
      </w:r>
    </w:p>
    <w:p>
      <w:pPr>
        <w:spacing w:after="160" w:line="276"/>
        <w:jc w:val="both"/>
      </w:pPr>
      <w:r>
        <w:t xml:space="preserve">The literature reviewed for this project treats the coordination of scaling and placement more as an acknowledged omission than an actively contested design space. Vu, Tran, and Kim (2022), despite building a sophisticated hybrid forecasting-based autoscaler, explicitly defer placement coordination to future work. This absence, repeated across otherwise advanced systems, is read here as direct evidence that Gap 2 persists in the current literature: even when scaling decisions are well-informed, the resulting pods are placed by a scheduler that is blind to the decision's cause, risking cold starts, cache misses, and load imbalance that a placement-aware mechanism could avoid.</w:t>
      </w:r>
    </w:p>
    <w:p>
      <w:pPr>
        <w:pStyle w:val="Heading2"/>
        <w:spacing w:after="140" w:before="280"/>
      </w:pPr>
      <w:r>
        <w:t xml:space="preserve">2.6 Adaptive and Self-Tuning Control Mechanisms</w:t>
      </w:r>
    </w:p>
    <w:p>
      <w:pPr>
        <w:spacing w:after="160" w:line="276"/>
        <w:jc w:val="both"/>
      </w:pPr>
      <w:r>
        <w:t xml:space="preserve">The reference model for self-managing systems in this space remains Kephart and Chess's (2003) MAPE-K loop — Monitor, Analyze, Plan, Execute, over a shared Knowledge base — which frames adaptive control as a continuous cycle rather than a one-time configuration. Within Lorido-Botran et al.'s (2014) taxonomy, this project's Module 3 sits at the intersection of the control-theory and reinforcement-learning families, and the current literature shows a genuine, unresolved tension between them.</w:t>
      </w:r>
    </w:p>
    <w:p>
      <w:pPr>
        <w:spacing w:after="160" w:line="276"/>
        <w:jc w:val="both"/>
      </w:pPr>
      <w:r>
        <w:t xml:space="preserve">On one side, Pandey (2026) demonstrates strong results from a reinforcement-learning approach: a PPO/DDPG agent integrated with Prometheus and a Multidimensional Pod Autoscaler on a nine-node Amazon EKS cluster, evaluated on the Spark TPC-DS benchmark and latency-sensitive microservices. Statistical analysis across twenty runs — a notably more rigorous protocol than most sources reviewed here — reports up to 30% higher CPU utilization, 15–20% lower p90 latency, and approximately 20% cost savings compared with HPA, VPA, and KEDA, with safe exploration achieved by bootstrapping the RL agent with HPA during early learning.</w:t>
      </w:r>
    </w:p>
    <w:p>
      <w:pPr>
        <w:spacing w:after="160" w:line="276"/>
        <w:jc w:val="both"/>
      </w:pPr>
      <w:r>
        <w:t xml:space="preserve">On the other side, Qiu, Banerjee, Jha, Kalbarczyk, and Iyer's FIRM framework (OSDI 2020) and the broader literature on reinforcement learning in production cloud systems document that RL-based resource-management policies are frequently workload- and infrastructure-specific, and require retraining as conditions drift — a real barrier to the kind of sustained, unattended operation an adaptive controller is meant to provide. This is not a rejection of RL as a mechanism, but it is a documented reason why an RL policy's short-horizon benchmark performance may not indicate its long-horizon production stability, which directly motivates this project's own emphasis (Chapter 3) on evaluating control stability, not only headline performance.</w:t>
      </w:r>
    </w:p>
    <w:p>
      <w:pPr>
        <w:spacing w:after="160" w:line="276"/>
        <w:jc w:val="both"/>
      </w:pPr>
      <w:r>
        <w:t xml:space="preserve">A third, very recent data point sharpens Gap 3 further. Wanigasooriya and Ekanayake's NimbusGuard (2026) combines a Dueling Deep Q-Network with an LSTM demand forecaster and an LLM-based decision-validation layer for proactive Kubernetes autoscaling — an architecturally sophisticated system. Yet its decision interval is fixed at 30 seconds and its action space is fixed at exactly three actions (scale down by one, hold, or scale up by one); the authors' own future-work section proposes expanding the action space to ±2 replicas as an open problem. Read carefully, the paper's own results table (evaluated on a single-machine KinD cluster against HPA and KEDA under an identical seeded load) shows NimbusGuard produced the highest average replica count (5.44 versus 3.05 for HPA and 2.93 for KEDA), the largest resource consumption, and the most scaling events (eight versus four for each baseline) — the authors themselves describe it as “the most agile and least stable” of the three systems compared. This contradicts the abstract's claim of superior cost efficiency and is treated in this review as current, first-hand evidence that even 2026-era proactive frameworks retain fixed control parameters and can trade stability for responsiveness without resolving it — precisely the problem Module 3 is designed to address.</w:t>
      </w:r>
    </w:p>
    <w:p>
      <w:pPr>
        <w:pStyle w:val="Heading2"/>
        <w:spacing w:after="140" w:before="280"/>
      </w:pPr>
      <w:r>
        <w:t xml:space="preserve">2.7 Predictive and Proactive Autoscaling</w:t>
      </w:r>
    </w:p>
    <w:p>
      <w:pPr>
        <w:spacing w:after="160" w:line="276"/>
        <w:jc w:val="both"/>
      </w:pPr>
      <w:r>
        <w:t xml:space="preserve">Forecasting-based approaches, such as the Bi-LSTM module in Vu, Tran, and Kim (2022) and the LSTM forecaster in NimbusGuard, aim to act ahead of demand rather than purely react to it. However, prediction and stability are distinct problems: NimbusGuard's forecasting component does not prevent it from being the least stable system in its own comparison. This project therefore treats forecasting as a potential future extension to Module 1's signal fusion (using predicted, not only observed, signal values) while keeping Module 3's adaptive control — which governs how the system reacts once a decision is made — as a separate concern that forecasting alone does not resolve.</w:t>
      </w:r>
    </w:p>
    <w:p>
      <w:pPr>
        <w:pStyle w:val="Heading2"/>
        <w:spacing w:after="140" w:before="280"/>
      </w:pPr>
      <w:r>
        <w:t xml:space="preserve">2.8 SLA/SLO-Driven and Cost-Aware Resource Management</w:t>
      </w:r>
    </w:p>
    <w:p>
      <w:pPr>
        <w:spacing w:after="160" w:line="276"/>
        <w:jc w:val="both"/>
      </w:pPr>
      <w:r>
        <w:t xml:space="preserve">Consistent and comparable measurement requires distinguishing a Service Level Indicator (a raw measured value, such as p95 latency) from a Service Level Objective (a target for that indicator) and a Service Level Agreement (the business commitment built on meeting that objective). Violation can further be reported as a count, a duration, or a severity-weighted measure, and these are not interchangeable: Punniyamoorthy et al. (2025) report their primary outcome as cumulative violation duration specifically because it better reflects user-facing impact than a simple violation count. This project adopts the same distinction, reporting both violation count and duration throughout Chapter 3's evaluation design, and organises its outcome metrics into the same four categories used by Punniyamoorthy et al.: SLA/SLO adherence, responsiveness, cost, and stability.</w:t>
      </w:r>
    </w:p>
    <w:p>
      <w:pPr>
        <w:pStyle w:val="Heading2"/>
        <w:spacing w:after="140" w:before="280"/>
      </w:pPr>
      <w:r>
        <w:t xml:space="preserve">2.9 Evaluation Methodologies and Benchmarks</w:t>
      </w:r>
    </w:p>
    <w:p>
      <w:pPr>
        <w:spacing w:after="160" w:line="276"/>
        <w:jc w:val="both"/>
      </w:pPr>
      <w:r>
        <w:t xml:space="preserve">Two sources anchor this project's evaluation design. Tamiru et al. (2020) supply a defined, SPEC Cloud Group–endorsed elasticity metric set (under- and over-provisioning accuracy and timeshare, instability of elasticity, and deviation from an optimal autoscaler), used here as the vocabulary for Chapter 3's data analysis plan. Xie, Wang, Luo, Yong, Tan, and Li's ScalerEval (2025), an open-source automated testbed from Wuhan University and Zhongguancun Laboratory, directly targets the inconsistent, manual, and hard-to-reproduce nature of current autoscaler evaluation by automating benchmark initialisation, workload injection, and metric collection — reproducing three autoscalers (PBScaler, Showar, and HPA at three CPU thresholds) on the Online Boutique and Sock Shop benchmarks with a real Wiki-Pageviews–derived load trace.</w:t>
      </w:r>
    </w:p>
    <w:p>
      <w:pPr>
        <w:spacing w:after="160" w:line="276"/>
        <w:jc w:val="both"/>
      </w:pPr>
      <w:r>
        <w:t xml:space="preserve">ScalerEval's existence is itself evidence that the field recognises its own Methodological gap. However, its published configuration uses a single-worker-node cluster, which makes co-scheduling and placement effects — central to this project's Module 2 — impossible to observe. This project's own testbed (Chapter 3) is therefore specified as a minimum four-worker-node cluster, extending ScalerEval's automation philosophy to a setting where placement effects are actually visible. The abstract-versus-results discrepancy identified in NimbusGuard (Section 2.6) further reinforces the need for the kind of transparent, multi-metric, multi-run reporting this project's methodology (Chapter 3) commits to.</w:t>
      </w:r>
    </w:p>
    <w:p>
      <w:pPr>
        <w:pStyle w:val="Heading2"/>
        <w:spacing w:after="140" w:before="280"/>
      </w:pPr>
      <w:r>
        <w:t xml:space="preserve">2.10 Synthesis and Research Gaps</w:t>
      </w:r>
    </w:p>
    <w:p>
      <w:pPr>
        <w:spacing w:after="160" w:line="276"/>
        <w:jc w:val="both"/>
      </w:pPr>
      <w:r>
        <w:t xml:space="preserve">Table 2.1 summarises how each reviewed source relates to the framework's three modules, making explicit what each contributes and what it leaves open.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D9E2F3" w:val="clear"/>
            <w:tcMar>
              <w:top w:type="dxa" w:w="80"/>
              <w:left w:type="dxa" w:w="100"/>
              <w:bottom w:type="dxa" w:w="80"/>
              <w:right w:type="dxa" w:w="100"/>
            </w:tcMar>
            <w:vAlign w:val="center"/>
          </w:tcPr>
          <w:p>
            <w:pPr>
              <w:spacing w:after="0"/>
            </w:pPr>
            <w:r>
              <w:rPr>
                <w:b/>
                <w:bCs/>
                <w:sz w:val="20"/>
                <w:szCs w:val="20"/>
              </w:rPr>
              <w:t xml:space="preserve">Source</w:t>
            </w:r>
          </w:p>
        </w:tc>
        <w:tc>
          <w:tcPr>
            <w:tcW w:type="dxa" w:w="3300"/>
            <w:shd w:fill="D9E2F3" w:val="clear"/>
            <w:tcMar>
              <w:top w:type="dxa" w:w="80"/>
              <w:left w:type="dxa" w:w="100"/>
              <w:bottom w:type="dxa" w:w="80"/>
              <w:right w:type="dxa" w:w="100"/>
            </w:tcMar>
            <w:vAlign w:val="center"/>
          </w:tcPr>
          <w:p>
            <w:pPr>
              <w:spacing w:after="0"/>
            </w:pPr>
            <w:r>
              <w:rPr>
                <w:b/>
                <w:bCs/>
                <w:sz w:val="20"/>
                <w:szCs w:val="20"/>
              </w:rPr>
              <w:t xml:space="preserve">Module(s) Partially Addressed</w:t>
            </w:r>
          </w:p>
        </w:tc>
        <w:tc>
          <w:tcPr>
            <w:tcW w:type="dxa" w:w="3300"/>
            <w:shd w:fill="D9E2F3" w:val="clear"/>
            <w:tcMar>
              <w:top w:type="dxa" w:w="80"/>
              <w:left w:type="dxa" w:w="100"/>
              <w:bottom w:type="dxa" w:w="80"/>
              <w:right w:type="dxa" w:w="100"/>
            </w:tcMar>
            <w:vAlign w:val="center"/>
          </w:tcPr>
          <w:p>
            <w:pPr>
              <w:spacing w:after="0"/>
            </w:pPr>
            <w:r>
              <w:rPr>
                <w:b/>
                <w:bCs/>
                <w:sz w:val="20"/>
                <w:szCs w:val="20"/>
              </w:rPr>
              <w:t xml:space="preserve">What Remains Open</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Vu, Tran &amp; Kim (2022)</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Module 1 (forecasting-based signal use); touches Module 3 (burst detection)</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Placement coordination explicitly excluded (own future work); fixed burst thresholds and monitoring interval</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Business-Aware SLA paper (2026, IEEE Access)</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Module 1 (single application-level signal)</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Single-signal only — no fusion with CPU/latency; deterministic, non-adaptive thresholds</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Punniyamoorthy et al. (2025)</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Module 1 (multi-signal fusion); partially Module 2 (binary node-capacity hint)</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No true placement scoring; fixed stabilisation windows and rate limits — Module 3 untouched</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Tamiru et al. (2020)</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Evaluation methodology (metrics), not a module directly</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Node-level scaling only; no pod-level, placement, or adaptive-control evaluation</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Xie et al. — ScalerEval (2025)</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Evaluation methodology (automated testbed)</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Single-worker-node design cannot support placement/co-scheduling experiments</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Pandey (2026)</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Module 3 (RL-based adaptive control)</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No signal fusion, no placement logic; long-horizon production drift untested</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Wanigasooriya &amp; Ekanayake — NimbusGuard (2026)</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Module 3 (proactive control), partially Module 1 (LSTM forecast of one signal)</w:t>
            </w:r>
          </w:p>
        </w:tc>
        <w:tc>
          <w:tcPr>
            <w:tcW w:type="dxa" w:w="3300"/>
            <w:tcMar>
              <w:top w:type="dxa" w:w="80"/>
              <w:left w:type="dxa" w:w="100"/>
              <w:bottom w:type="dxa" w:w="80"/>
              <w:right w:type="dxa" w:w="100"/>
            </w:tcMar>
            <w:vAlign w:val="center"/>
          </w:tcPr>
          <w:p>
            <w:pPr>
              <w:spacing w:after="0"/>
            </w:pPr>
            <w:r>
              <w:rPr>
                <w:b w:val="false"/>
                <w:bCs w:val="false"/>
                <w:sz w:val="20"/>
                <w:szCs w:val="20"/>
              </w:rPr>
              <w:t xml:space="preserve">Fixed decision interval and fixed action space (own future work); no placement logic; abstract claim unsupported by own results</w:t>
            </w:r>
          </w:p>
        </w:tc>
      </w:tr>
    </w:tbl>
    <w:p>
      <w:pPr>
        <w:spacing w:after="160" w:line="276"/>
        <w:jc w:val="both"/>
      </w:pPr>
      <w:r>
        <w:t xml:space="preserve">This synthesis supports four formal gap statements. Gap 1 (Signal Fusion): no reviewed framework fuses backlog, CPU utilization, and latency percentiles into one validated, SLA-aware decision score. Gap 2 (Co-Scheduling): no reviewed framework couples scaling decisions to placement scoring; the closest systems either exclude it explicitly or implement only a lightweight, non-scoring hint. Gap 3 (Adaptive Control): fixed thresholds, step sizes, and monitoring intervals persist even in the most recent (2026) proactive, learning-based frameworks, by those frameworks' own admission. Gap 4, the synthesis gap: no framework integrates all three mechanisms into one evaluated architecture, and no study isolates each mechanism's individual contribution through ablation.</w:t>
      </w:r>
    </w:p>
    <w:p>
      <w:pPr>
        <w:spacing w:after="160" w:line="276"/>
        <w:jc w:val="both"/>
      </w:pPr>
      <w:r>
        <w:t xml:space="preserve">Two contradictions are worth naming explicitly rather than resolving prematurely. First, reinforcement-learning approaches to adaptive control show strong benchmark results (Pandey, 2026) alongside well-documented production brittleness and retraining cost (FIRM and the wider RL-in-production literature) — the difference appears to depend heavily on evaluation environment and training regime, and this project's methodology (Chapter 3) is designed to report stability metrics precisely so this tension is measured rather than assumed away. Second, more signals are not unambiguously better: multi-signal fusion improves accuracy over single signals, but a system that depends on more inputs also depends on more inputs being correct, an issue this project acknowledges in its limitations (Chapter 5) rather than claims to solve.</w:t>
      </w:r>
    </w:p>
    <w:p>
      <w:pPr>
        <w:pStyle w:val="Heading2"/>
        <w:spacing w:after="140" w:before="280"/>
      </w:pPr>
      <w:r>
        <w:t xml:space="preserve">2.11 Chapter Summary</w:t>
      </w:r>
    </w:p>
    <w:p>
      <w:pPr>
        <w:spacing w:after="160" w:line="276"/>
        <w:jc w:val="both"/>
      </w:pPr>
      <w:r>
        <w:t xml:space="preserve">The reviewed literature converges on three specific, individually documented weaknesses in current Kubernetes autoscaling — single-signal decision-making, scaling–scheduling disconnection, and static control parameters — and one system-level absence: no framework integrates solutions to all three and evaluates them together. This project's proposed three-module framework is positioned directly against this gap, and its methodology (Chapter 3) is designed specifically to produce the ablation evidence the current literature lacks.</w:t>
      </w:r>
    </w:p>
    <w:p>
      <w:pPr>
        <w:pStyle w:val="Heading1"/>
        <w:pageBreakBefore/>
        <w:spacing w:after="200" w:before="240"/>
      </w:pPr>
      <w:r>
        <w:t xml:space="preserve">Chapter 3: Methodology</w:t>
      </w:r>
    </w:p>
    <w:p>
      <w:pPr>
        <w:pStyle w:val="Heading2"/>
        <w:spacing w:after="140" w:before="280"/>
      </w:pPr>
      <w:r>
        <w:t xml:space="preserve">3.1 Research Approach</w:t>
      </w:r>
    </w:p>
    <w:p>
      <w:pPr>
        <w:spacing w:after="160" w:line="276"/>
        <w:jc w:val="both"/>
      </w:pPr>
      <w:r>
        <w:t xml:space="preserve">This project adopts a quantitative research approach. Every research question defined in Chapter 1 asks for a measurable comparison — an SLA-violation rate or duration, a latency percentile, a cost figure, or a stability measurement — evaluated under one system configuration against another. None asks about opinions, lived experience, or meaning, which is what a qualitative approach is built to answer; a quantitative approach is therefore the correct fit for the questions as stated, not a default choice.</w:t>
      </w:r>
    </w:p>
    <w:p>
      <w:pPr>
        <w:spacing w:after="160" w:line="276"/>
        <w:jc w:val="both"/>
      </w:pPr>
      <w:r>
        <w:t xml:space="preserve">Within software and systems engineering specifically, this kind of work is commonly framed using Design Science Research (DSR): the project does not only measure an existing phenomenon, it builds a new artefact (the three-module framework) and then evaluates it. DSR structures the work as Build → Demonstrate → Evaluate, which maps directly onto this project's Main Objective (design, implement, evaluate) and is adopted as the umbrella methodology for this chapter.</w:t>
      </w:r>
    </w:p>
    <w:p>
      <w:pPr>
        <w:pStyle w:val="Heading2"/>
        <w:spacing w:after="140" w:before="280"/>
      </w:pPr>
      <w:r>
        <w:t xml:space="preserve">3.2 Research Design</w:t>
      </w:r>
    </w:p>
    <w:p>
      <w:pPr>
        <w:spacing w:after="160" w:line="276"/>
        <w:jc w:val="both"/>
      </w:pPr>
      <w:r>
        <w:t xml:space="preserve">The core empirical design, nested inside the DSR “Evaluate” phase, is a controlled, repeated-measures ablation experiment. Table 3.1 defines the five experimental arms; each arm is repeated across three workload patterns (steady-state, bursty, and one stateful or inference-style workload), producing a small factorial design rather than a single flat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00"/>
      </w:tblGrid>
      <w:tr>
        <w:trPr>
          <w:tblHeader/>
        </w:trPr>
        <w:tc>
          <w:tcPr>
            <w:tcW w:type="dxa" w:w="3000"/>
            <w:shd w:fill="D9E2F3" w:val="clear"/>
            <w:tcMar>
              <w:top w:type="dxa" w:w="80"/>
              <w:left w:type="dxa" w:w="100"/>
              <w:bottom w:type="dxa" w:w="80"/>
              <w:right w:type="dxa" w:w="100"/>
            </w:tcMar>
            <w:vAlign w:val="center"/>
          </w:tcPr>
          <w:p>
            <w:pPr>
              <w:spacing w:after="0"/>
            </w:pPr>
            <w:r>
              <w:rPr>
                <w:b/>
                <w:bCs/>
                <w:sz w:val="20"/>
                <w:szCs w:val="20"/>
              </w:rPr>
              <w:t xml:space="preserve">Arm</w:t>
            </w:r>
          </w:p>
        </w:tc>
        <w:tc>
          <w:tcPr>
            <w:tcW w:type="dxa" w:w="3200"/>
            <w:shd w:fill="D9E2F3" w:val="clear"/>
            <w:tcMar>
              <w:top w:type="dxa" w:w="80"/>
              <w:left w:type="dxa" w:w="100"/>
              <w:bottom w:type="dxa" w:w="80"/>
              <w:right w:type="dxa" w:w="100"/>
            </w:tcMar>
            <w:vAlign w:val="center"/>
          </w:tcPr>
          <w:p>
            <w:pPr>
              <w:spacing w:after="0"/>
            </w:pPr>
            <w:r>
              <w:rPr>
                <w:b/>
                <w:bCs/>
                <w:sz w:val="20"/>
                <w:szCs w:val="20"/>
              </w:rPr>
              <w:t xml:space="preserve">What It Isolates</w:t>
            </w:r>
          </w:p>
        </w:tc>
        <w:tc>
          <w:tcPr>
            <w:tcW w:type="dxa" w:w="3000"/>
            <w:shd w:fill="D9E2F3" w:val="clear"/>
            <w:tcMar>
              <w:top w:type="dxa" w:w="80"/>
              <w:left w:type="dxa" w:w="100"/>
              <w:bottom w:type="dxa" w:w="80"/>
              <w:right w:type="dxa" w:w="100"/>
            </w:tcMar>
            <w:vAlign w:val="center"/>
          </w:tcPr>
          <w:p>
            <w:pPr>
              <w:spacing w:after="0"/>
            </w:pPr>
            <w:r>
              <w:rPr>
                <w:b/>
                <w:bCs/>
                <w:sz w:val="20"/>
                <w:szCs w:val="20"/>
              </w:rPr>
              <w:t xml:space="preserve">Answers</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Baseline (HPA / KEDA)</w:t>
            </w:r>
          </w:p>
        </w:tc>
        <w:tc>
          <w:tcPr>
            <w:tcW w:type="dxa" w:w="3200"/>
            <w:tcMar>
              <w:top w:type="dxa" w:w="80"/>
              <w:left w:type="dxa" w:w="100"/>
              <w:bottom w:type="dxa" w:w="80"/>
              <w:right w:type="dxa" w:w="100"/>
            </w:tcMar>
            <w:vAlign w:val="center"/>
          </w:tcPr>
          <w:p>
            <w:pPr>
              <w:spacing w:after="0"/>
            </w:pPr>
            <w:r>
              <w:rPr>
                <w:b w:val="false"/>
                <w:bCs w:val="false"/>
                <w:sz w:val="20"/>
                <w:szCs w:val="20"/>
              </w:rPr>
              <w:t xml:space="preserve">Existing default behaviour</w:t>
            </w:r>
          </w:p>
        </w:tc>
        <w:tc>
          <w:tcPr>
            <w:tcW w:type="dxa" w:w="3000"/>
            <w:tcMar>
              <w:top w:type="dxa" w:w="80"/>
              <w:left w:type="dxa" w:w="100"/>
              <w:bottom w:type="dxa" w:w="80"/>
              <w:right w:type="dxa" w:w="100"/>
            </w:tcMar>
            <w:vAlign w:val="center"/>
          </w:tcPr>
          <w:p>
            <w:pPr>
              <w:spacing w:after="0"/>
            </w:pPr>
            <w:r>
              <w:rPr>
                <w:b w:val="false"/>
                <w:bCs w:val="false"/>
                <w:sz w:val="20"/>
                <w:szCs w:val="20"/>
              </w:rPr>
              <w:t xml:space="preserve">Reference point for all comparisons</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Signal Fusion only (Module 1)</w:t>
            </w:r>
          </w:p>
        </w:tc>
        <w:tc>
          <w:tcPr>
            <w:tcW w:type="dxa" w:w="3200"/>
            <w:tcMar>
              <w:top w:type="dxa" w:w="80"/>
              <w:left w:type="dxa" w:w="100"/>
              <w:bottom w:type="dxa" w:w="80"/>
              <w:right w:type="dxa" w:w="100"/>
            </w:tcMar>
            <w:vAlign w:val="center"/>
          </w:tcPr>
          <w:p>
            <w:pPr>
              <w:spacing w:after="0"/>
            </w:pPr>
            <w:r>
              <w:rPr>
                <w:b w:val="false"/>
                <w:bCs w:val="false"/>
                <w:sz w:val="20"/>
                <w:szCs w:val="20"/>
              </w:rPr>
              <w:t xml:space="preserve">Module 1's effect alone</w:t>
            </w:r>
          </w:p>
        </w:tc>
        <w:tc>
          <w:tcPr>
            <w:tcW w:type="dxa" w:w="3000"/>
            <w:tcMar>
              <w:top w:type="dxa" w:w="80"/>
              <w:left w:type="dxa" w:w="100"/>
              <w:bottom w:type="dxa" w:w="80"/>
              <w:right w:type="dxa" w:w="100"/>
            </w:tcMar>
            <w:vAlign w:val="center"/>
          </w:tcPr>
          <w:p>
            <w:pPr>
              <w:spacing w:after="0"/>
            </w:pPr>
            <w:r>
              <w:rPr>
                <w:b w:val="false"/>
                <w:bCs w:val="false"/>
                <w:sz w:val="20"/>
                <w:szCs w:val="20"/>
              </w:rPr>
              <w:t xml:space="preserve">Sub-RQ 1</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Co-Scheduling only (Module 2)</w:t>
            </w:r>
          </w:p>
        </w:tc>
        <w:tc>
          <w:tcPr>
            <w:tcW w:type="dxa" w:w="3200"/>
            <w:tcMar>
              <w:top w:type="dxa" w:w="80"/>
              <w:left w:type="dxa" w:w="100"/>
              <w:bottom w:type="dxa" w:w="80"/>
              <w:right w:type="dxa" w:w="100"/>
            </w:tcMar>
            <w:vAlign w:val="center"/>
          </w:tcPr>
          <w:p>
            <w:pPr>
              <w:spacing w:after="0"/>
            </w:pPr>
            <w:r>
              <w:rPr>
                <w:b w:val="false"/>
                <w:bCs w:val="false"/>
                <w:sz w:val="20"/>
                <w:szCs w:val="20"/>
              </w:rPr>
              <w:t xml:space="preserve">Module 2's effect alone</w:t>
            </w:r>
          </w:p>
        </w:tc>
        <w:tc>
          <w:tcPr>
            <w:tcW w:type="dxa" w:w="3000"/>
            <w:tcMar>
              <w:top w:type="dxa" w:w="80"/>
              <w:left w:type="dxa" w:w="100"/>
              <w:bottom w:type="dxa" w:w="80"/>
              <w:right w:type="dxa" w:w="100"/>
            </w:tcMar>
            <w:vAlign w:val="center"/>
          </w:tcPr>
          <w:p>
            <w:pPr>
              <w:spacing w:after="0"/>
            </w:pPr>
            <w:r>
              <w:rPr>
                <w:b w:val="false"/>
                <w:bCs w:val="false"/>
                <w:sz w:val="20"/>
                <w:szCs w:val="20"/>
              </w:rPr>
              <w:t xml:space="preserve">Sub-RQ 2</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Adaptive Control only (Module 3)</w:t>
            </w:r>
          </w:p>
        </w:tc>
        <w:tc>
          <w:tcPr>
            <w:tcW w:type="dxa" w:w="3200"/>
            <w:tcMar>
              <w:top w:type="dxa" w:w="80"/>
              <w:left w:type="dxa" w:w="100"/>
              <w:bottom w:type="dxa" w:w="80"/>
              <w:right w:type="dxa" w:w="100"/>
            </w:tcMar>
            <w:vAlign w:val="center"/>
          </w:tcPr>
          <w:p>
            <w:pPr>
              <w:spacing w:after="0"/>
            </w:pPr>
            <w:r>
              <w:rPr>
                <w:b w:val="false"/>
                <w:bCs w:val="false"/>
                <w:sz w:val="20"/>
                <w:szCs w:val="20"/>
              </w:rPr>
              <w:t xml:space="preserve">Module 3's effect alone</w:t>
            </w:r>
          </w:p>
        </w:tc>
        <w:tc>
          <w:tcPr>
            <w:tcW w:type="dxa" w:w="3000"/>
            <w:tcMar>
              <w:top w:type="dxa" w:w="80"/>
              <w:left w:type="dxa" w:w="100"/>
              <w:bottom w:type="dxa" w:w="80"/>
              <w:right w:type="dxa" w:w="100"/>
            </w:tcMar>
            <w:vAlign w:val="center"/>
          </w:tcPr>
          <w:p>
            <w:pPr>
              <w:spacing w:after="0"/>
            </w:pPr>
            <w:r>
              <w:rPr>
                <w:b w:val="false"/>
                <w:bCs w:val="false"/>
                <w:sz w:val="20"/>
                <w:szCs w:val="20"/>
              </w:rPr>
              <w:t xml:space="preserve">Sub-RQ 3</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Full framework (Modules 1+2+3)</w:t>
            </w:r>
          </w:p>
        </w:tc>
        <w:tc>
          <w:tcPr>
            <w:tcW w:type="dxa" w:w="3200"/>
            <w:tcMar>
              <w:top w:type="dxa" w:w="80"/>
              <w:left w:type="dxa" w:w="100"/>
              <w:bottom w:type="dxa" w:w="80"/>
              <w:right w:type="dxa" w:w="100"/>
            </w:tcMar>
            <w:vAlign w:val="center"/>
          </w:tcPr>
          <w:p>
            <w:pPr>
              <w:spacing w:after="0"/>
            </w:pPr>
            <w:r>
              <w:rPr>
                <w:b w:val="false"/>
                <w:bCs w:val="false"/>
                <w:sz w:val="20"/>
                <w:szCs w:val="20"/>
              </w:rPr>
              <w:t xml:space="preserve">Combined effect</w:t>
            </w:r>
          </w:p>
        </w:tc>
        <w:tc>
          <w:tcPr>
            <w:tcW w:type="dxa" w:w="3000"/>
            <w:tcMar>
              <w:top w:type="dxa" w:w="80"/>
              <w:left w:type="dxa" w:w="100"/>
              <w:bottom w:type="dxa" w:w="80"/>
              <w:right w:type="dxa" w:w="100"/>
            </w:tcMar>
            <w:vAlign w:val="center"/>
          </w:tcPr>
          <w:p>
            <w:pPr>
              <w:spacing w:after="0"/>
            </w:pPr>
            <w:r>
              <w:rPr>
                <w:b w:val="false"/>
                <w:bCs w:val="false"/>
                <w:sz w:val="20"/>
                <w:szCs w:val="20"/>
              </w:rPr>
              <w:t xml:space="preserve">Sub-RQ 4 and the Main Research Question</w:t>
            </w:r>
          </w:p>
        </w:tc>
      </w:tr>
    </w:tbl>
    <w:p>
      <w:pPr>
        <w:spacing w:after="160" w:line="276"/>
        <w:jc w:val="both"/>
      </w:pPr>
      <w:r>
        <w:t xml:space="preserve">Each teammate can build and run their own module's baseline comparison independently — the module-only arms are self-contained — while the full-framework and ablation arms, which require all three modules deployed simultaneously, are run jointly once integration is complete. This mirrors the team's division of labour (Section 1.7) without forcing any member to wait on the others before generating their own results.</w:t>
      </w:r>
    </w:p>
    <w:p>
      <w:r>
        <w:t>Note on what was actually executed (added 2026-07-29): the ablation described above was run against one workload pattern, not three — the originally planned steady-state/bursty/stateful-inference factorial design was descoped to a single Alibaba microservice-trace replay after real host-memory constraints were discovered mid-study (Chapter 5). This is a deliberate, disclosed scope correction, detailed in Chapter 4, Finding 5 and Chapter 6, Section 6.2, not an unacknowledged change to the design above.</w:t>
      </w:r>
    </w:p>
    <w:p>
      <w:pPr>
        <w:pStyle w:val="Heading2"/>
        <w:spacing w:after="140" w:before="280"/>
      </w:pPr>
      <w:r>
        <w:t xml:space="preserve">3.3 Framework Design</w:t>
      </w:r>
    </w:p>
    <w:p>
      <w:pPr>
        <w:pStyle w:val="Heading3"/>
        <w:spacing w:after="100" w:before="200"/>
      </w:pPr>
      <w:r>
        <w:t xml:space="preserve">3.3.1 Formal Problem Definition</w:t>
      </w:r>
    </w:p>
    <w:p>
      <w:pPr>
        <w:spacing w:after="160" w:line="276"/>
        <w:jc w:val="both"/>
      </w:pPr>
      <w:r>
        <w:t xml:space="preserve">The framework's overall objective is to minimise SLA-violation cost subject to resource and cost constraints: at each control interval, the system observes fused signal state, decides a scaling action, places any resulting new pods, and adjusts its own control parameters based on recently observed performance. This is formalised as a closed loop rather than three independent decisions, following the Monitor-Analyze-Plan-Execute-Knowledge (MAPE-K) reference model (Kephart &amp; Chess, 2003).</w:t>
      </w:r>
    </w:p>
    <w:p>
      <w:pPr>
        <w:pStyle w:val="Heading3"/>
        <w:spacing w:after="100" w:before="200"/>
      </w:pPr>
      <w:r>
        <w:t xml:space="preserve">3.3.2 Architecture Overview</w:t>
      </w:r>
    </w:p>
    <w:p>
      <w:pPr>
        <w:spacing w:after="160" w:line="276"/>
        <w:jc w:val="both"/>
      </w:pPr>
      <w:r>
        <w:t xml:space="preserve">The three modules are arranged as stages within one MAPE-K-style loop: Module 1 (Signal Fusion) performs the Monitor and part of the Analyze stage, producing a single SLA-risk score from backlog, CPU utilization, and latency-percentile inputs; the Plan stage determines the scaling action from this score; Module 2 (Co-Scheduling) governs the Execute stage's placement decision, using the specific signal that triggered scaling as an input to its node-scoring function; and Module 3 (Adaptive Control) operates over the shared Knowledge base, observing recent control performance and adjusting the thresholds, step size, and monitoring interval used by the other two modules.</w:t>
      </w:r>
    </w:p>
    <w:p>
      <w:pPr>
        <w:pStyle w:val="Heading3"/>
        <w:spacing w:after="100" w:before="200"/>
      </w:pPr>
      <w:r>
        <w:t xml:space="preserve">3.3.3 Module 1 — Signal Fusion</w:t>
      </w:r>
    </w:p>
    <w:p>
      <w:pPr>
        <w:spacing w:after="160" w:line="276"/>
        <w:jc w:val="both"/>
      </w:pPr>
      <w:r>
        <w:t xml:space="preserve">Module 1 normalises backlog (queue depth), CPU utilization, and a latency-percentile metric (p95 or p99, matching the project's SLA definition) onto a common scale and combines them into a single SLA-risk score. The specific fusion function — a weighted combination, a rule cascade, or a lightweight learned model — is a design decision to be finalised during implementation and reported explicitly in the results, since Sub-RQ 1 asks how this fused score compares to CPU-only scaling, not only whether fusion helps in principle.</w:t>
      </w:r>
    </w:p>
    <w:p>
      <w:pPr>
        <w:pStyle w:val="Heading3"/>
        <w:spacing w:after="100" w:before="200"/>
      </w:pPr>
      <w:r>
        <w:t xml:space="preserve">3.3.4 Module 2 — Co-Scheduling</w:t>
      </w:r>
    </w:p>
    <w:p>
      <w:pPr>
        <w:spacing w:after="160" w:line="276"/>
        <w:jc w:val="both"/>
      </w:pPr>
      <w:r>
        <w:t xml:space="preserve">Module 2 implements a node-scoring function, delivered as a Kubernetes scheduler plugin or extender, that incorporates the cause of a scaling event (which signal or combination of signals triggered it) alongside standard node resource availability. For example, a pod created in response to a latency-percentile breach may be scored toward nodes with spare capacity and low current contention, while a pod created in response to a steady backlog increase may be scored toward nodes that support faster warm-up for the given workload type.</w:t>
      </w:r>
    </w:p>
    <w:p>
      <w:pPr>
        <w:pStyle w:val="Heading3"/>
        <w:spacing w:after="100" w:before="200"/>
      </w:pPr>
      <w:r>
        <w:t xml:space="preserve">3.3.5 Module 3 — Adaptive Control</w:t>
      </w:r>
    </w:p>
    <w:p>
      <w:pPr>
        <w:spacing w:after="160" w:line="276"/>
        <w:jc w:val="both"/>
      </w:pPr>
      <w:r>
        <w:t xml:space="preserve">Module 3 monitors recent scaling outcomes (whether recent actions reduced or worsened SLA risk, and how frequently the system has scaled) and adjusts three parameters used by the other modules: the SLA-risk threshold that triggers scaling, the step size of each scaling action, and the monitoring interval between decisions. A stability safeguard — for example, bounding how much any parameter can change within one adjustment cycle — is included by design to reduce the risk that the adaptive mechanism itself becomes a source of oscillation, directly addressing the theoretical gap identified in Chapter 2 around control stability.</w:t>
      </w:r>
    </w:p>
    <w:p>
      <w:pPr>
        <w:pStyle w:val="Heading2"/>
        <w:spacing w:after="140" w:before="280"/>
      </w:pPr>
      <w:r>
        <w:t xml:space="preserve">3.4 Implementation Plan</w:t>
      </w:r>
    </w:p>
    <w:p>
      <w:pPr>
        <w:spacing w:after="160" w:line="276"/>
        <w:jc w:val="both"/>
      </w:pPr>
      <w:r>
        <w:t xml:space="preserve">The framework is implemented as Kubernetes-native components: a custom controller (or an extension of the CustomPodAutoscaler pattern) for Modules 1 and 3, and a scheduler plugin or extender for Module 2. Metrics are collected through a Prometheus pipeline with a custom metrics adapter exposing backlog and latency-percentile data alongside standard CPU/memory metrics. The testbed is a dedicated, controlled multi-node Kubernetes cluster with a minimum of four worker nodes — deliberately larger than the single-worker-node configuration used by ScalerEval (Section 2.9), since placement and co-scheduling effects cannot be observed on a single node.</w:t>
      </w:r>
    </w:p>
    <w:p>
      <w:pPr>
        <w:pStyle w:val="Heading2"/>
        <w:spacing w:after="140" w:before="280"/>
      </w:pPr>
      <w:r>
        <w:t xml:space="preserve">3.5 Population and Sample</w:t>
      </w:r>
    </w:p>
    <w:p>
      <w:pPr>
        <w:spacing w:after="160" w:line="276"/>
        <w:jc w:val="both"/>
      </w:pPr>
      <w:r>
        <w:t xml:space="preserve">In systems research, “population” and “sample” refer to the space of workloads, traffic conditions, and environments the framework could face, and the specific subset actually tested, not to human subjects. Table 3.2 defines both.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300"/>
        <w:gridCol w:w="4900"/>
      </w:tblGrid>
      <w:tr>
        <w:trPr>
          <w:tblHeader/>
        </w:trPr>
        <w:tc>
          <w:tcPr>
            <w:tcW w:type="dxa" w:w="4300"/>
            <w:shd w:fill="D9E2F3" w:val="clear"/>
            <w:tcMar>
              <w:top w:type="dxa" w:w="80"/>
              <w:left w:type="dxa" w:w="100"/>
              <w:bottom w:type="dxa" w:w="80"/>
              <w:right w:type="dxa" w:w="100"/>
            </w:tcMar>
            <w:vAlign w:val="center"/>
          </w:tcPr>
          <w:p>
            <w:pPr>
              <w:spacing w:after="0"/>
            </w:pPr>
            <w:r>
              <w:rPr>
                <w:b/>
                <w:bCs/>
                <w:sz w:val="20"/>
                <w:szCs w:val="20"/>
              </w:rPr>
              <w:t xml:space="preserve">Population (the full space)</w:t>
            </w:r>
          </w:p>
        </w:tc>
        <w:tc>
          <w:tcPr>
            <w:tcW w:type="dxa" w:w="4900"/>
            <w:shd w:fill="D9E2F3" w:val="clear"/>
            <w:tcMar>
              <w:top w:type="dxa" w:w="80"/>
              <w:left w:type="dxa" w:w="100"/>
              <w:bottom w:type="dxa" w:w="80"/>
              <w:right w:type="dxa" w:w="100"/>
            </w:tcMar>
            <w:vAlign w:val="center"/>
          </w:tcPr>
          <w:p>
            <w:pPr>
              <w:spacing w:after="0"/>
            </w:pPr>
            <w:r>
              <w:rPr>
                <w:b/>
                <w:bCs/>
                <w:sz w:val="20"/>
                <w:szCs w:val="20"/>
              </w:rPr>
              <w:t xml:space="preserve">Sample (what this project tests)</w:t>
            </w:r>
          </w:p>
        </w:tc>
      </w:tr>
      <w:tr>
        <w:tc>
          <w:tcPr>
            <w:tcW w:type="dxa" w:w="4300"/>
            <w:tcMar>
              <w:top w:type="dxa" w:w="80"/>
              <w:left w:type="dxa" w:w="100"/>
              <w:bottom w:type="dxa" w:w="80"/>
              <w:right w:type="dxa" w:w="100"/>
            </w:tcMar>
            <w:vAlign w:val="center"/>
          </w:tcPr>
          <w:p>
            <w:pPr>
              <w:spacing w:after="0"/>
            </w:pPr>
            <w:r>
              <w:rPr>
                <w:b w:val="false"/>
                <w:bCs w:val="false"/>
                <w:sz w:val="20"/>
                <w:szCs w:val="20"/>
              </w:rPr>
              <w:t xml:space="preserve">All Kubernetes-hosted workload types</w:t>
            </w:r>
          </w:p>
        </w:tc>
        <w:tc>
          <w:tcPr>
            <w:tcW w:type="dxa" w:w="4900"/>
            <w:tcMar>
              <w:top w:type="dxa" w:w="80"/>
              <w:left w:type="dxa" w:w="100"/>
              <w:bottom w:type="dxa" w:w="80"/>
              <w:right w:type="dxa" w:w="100"/>
            </w:tcMar>
            <w:vAlign w:val="center"/>
          </w:tcPr>
          <w:p>
            <w:pPr>
              <w:spacing w:after="0"/>
            </w:pPr>
            <w:r>
              <w:rPr>
                <w:b w:val="false"/>
                <w:bCs w:val="false"/>
                <w:sz w:val="20"/>
                <w:szCs w:val="20"/>
              </w:rPr>
              <w:t xml:space="preserve">Three types: a steady-state e-commerce microservice benchmark (e.g. Online Boutique or TeaStore), a bursty-traffic microservice benchmark (e.g. Sock Shop replaying a public trace), and one stateful or inference-style workload</w:t>
            </w:r>
          </w:p>
        </w:tc>
      </w:tr>
      <w:tr>
        <w:tc>
          <w:tcPr>
            <w:tcW w:type="dxa" w:w="4300"/>
            <w:tcMar>
              <w:top w:type="dxa" w:w="80"/>
              <w:left w:type="dxa" w:w="100"/>
              <w:bottom w:type="dxa" w:w="80"/>
              <w:right w:type="dxa" w:w="100"/>
            </w:tcMar>
            <w:vAlign w:val="center"/>
          </w:tcPr>
          <w:p>
            <w:pPr>
              <w:spacing w:after="0"/>
            </w:pPr>
            <w:r>
              <w:rPr>
                <w:b w:val="false"/>
                <w:bCs w:val="false"/>
                <w:sz w:val="20"/>
                <w:szCs w:val="20"/>
              </w:rPr>
              <w:t xml:space="preserve">All possible traffic/load conditions</w:t>
            </w:r>
          </w:p>
        </w:tc>
        <w:tc>
          <w:tcPr>
            <w:tcW w:type="dxa" w:w="4900"/>
            <w:tcMar>
              <w:top w:type="dxa" w:w="80"/>
              <w:left w:type="dxa" w:w="100"/>
              <w:bottom w:type="dxa" w:w="80"/>
              <w:right w:type="dxa" w:w="100"/>
            </w:tcMar>
            <w:vAlign w:val="center"/>
          </w:tcPr>
          <w:p>
            <w:pPr>
              <w:spacing w:after="0"/>
            </w:pPr>
            <w:r>
              <w:rPr>
                <w:b w:val="false"/>
                <w:bCs w:val="false"/>
                <w:sz w:val="20"/>
                <w:szCs w:val="20"/>
              </w:rPr>
              <w:t xml:space="preserve">Three controlled patterns: steady load, sudden burst/spike, gradual ramp</w:t>
            </w:r>
          </w:p>
        </w:tc>
      </w:tr>
      <w:tr>
        <w:tc>
          <w:tcPr>
            <w:tcW w:type="dxa" w:w="4300"/>
            <w:tcMar>
              <w:top w:type="dxa" w:w="80"/>
              <w:left w:type="dxa" w:w="100"/>
              <w:bottom w:type="dxa" w:w="80"/>
              <w:right w:type="dxa" w:w="100"/>
            </w:tcMar>
            <w:vAlign w:val="center"/>
          </w:tcPr>
          <w:p>
            <w:pPr>
              <w:spacing w:after="0"/>
            </w:pPr>
            <w:r>
              <w:rPr>
                <w:b w:val="false"/>
                <w:bCs w:val="false"/>
                <w:sz w:val="20"/>
                <w:szCs w:val="20"/>
              </w:rPr>
              <w:t xml:space="preserve">All Kubernetes cluster configurations</w:t>
            </w:r>
          </w:p>
        </w:tc>
        <w:tc>
          <w:tcPr>
            <w:tcW w:type="dxa" w:w="4900"/>
            <w:tcMar>
              <w:top w:type="dxa" w:w="80"/>
              <w:left w:type="dxa" w:w="100"/>
              <w:bottom w:type="dxa" w:w="80"/>
              <w:right w:type="dxa" w:w="100"/>
            </w:tcMar>
            <w:vAlign w:val="center"/>
          </w:tcPr>
          <w:p>
            <w:pPr>
              <w:spacing w:after="0"/>
            </w:pPr>
            <w:r>
              <w:rPr>
                <w:b w:val="false"/>
                <w:bCs w:val="false"/>
                <w:sz w:val="20"/>
                <w:szCs w:val="20"/>
              </w:rPr>
              <w:t xml:space="preserve">One dedicated, controlled multi-node cluster (minimum four worker nodes), fixed provider, version, and region</w:t>
            </w:r>
          </w:p>
        </w:tc>
      </w:tr>
      <w:tr>
        <w:tc>
          <w:tcPr>
            <w:tcW w:type="dxa" w:w="4300"/>
            <w:tcMar>
              <w:top w:type="dxa" w:w="80"/>
              <w:left w:type="dxa" w:w="100"/>
              <w:bottom w:type="dxa" w:w="80"/>
              <w:right w:type="dxa" w:w="100"/>
            </w:tcMar>
            <w:vAlign w:val="center"/>
          </w:tcPr>
          <w:p>
            <w:pPr>
              <w:spacing w:after="0"/>
            </w:pPr>
            <w:r>
              <w:rPr>
                <w:b w:val="false"/>
                <w:bCs w:val="false"/>
                <w:sz w:val="20"/>
                <w:szCs w:val="20"/>
              </w:rPr>
              <w:t xml:space="preserve">All existing autoscalers usable as baselines</w:t>
            </w:r>
          </w:p>
        </w:tc>
        <w:tc>
          <w:tcPr>
            <w:tcW w:type="dxa" w:w="4900"/>
            <w:tcMar>
              <w:top w:type="dxa" w:w="80"/>
              <w:left w:type="dxa" w:w="100"/>
              <w:bottom w:type="dxa" w:w="80"/>
              <w:right w:type="dxa" w:w="100"/>
            </w:tcMar>
            <w:vAlign w:val="center"/>
          </w:tcPr>
          <w:p>
            <w:pPr>
              <w:spacing w:after="0"/>
            </w:pPr>
            <w:r>
              <w:rPr>
                <w:b w:val="false"/>
                <w:bCs w:val="false"/>
                <w:sz w:val="20"/>
                <w:szCs w:val="20"/>
              </w:rPr>
              <w:t xml:space="preserve">HPA and KEDA as primary baselines</w:t>
            </w:r>
          </w:p>
        </w:tc>
      </w:tr>
    </w:tbl>
    <w:p>
      <w:pPr>
        <w:spacing w:after="160" w:line="276"/>
        <w:jc w:val="both"/>
      </w:pPr>
      <w:r>
        <w:t xml:space="preserve">Sampling is purposive rather than random: benchmark applications and traces are deliberately chosen because they are widely used and previously validated in the literature reviewed in Chapter 2, which is the accepted norm in systems research — there is no defined population of “all Kubernetes applications” from which a meaningful random sample could be drawn.</w:t>
      </w:r>
    </w:p>
    <w:p>
      <w:r>
        <w:t>Note on what was actually executed (added 2026-07-29): the sample actually tested was one workload type (the Alibaba microservice-trace replay), not the three shown in Table 3.2 — the bursty-traffic and stateful/inference-style samples were descoped after real host-memory constraints were discovered mid-study, an explicit and dated decision recorded in Chapter 4, Finding 5 and Chapter 6, Section 6.2, not a silent reduction of the originally planned sample shown above.</w:t>
      </w:r>
    </w:p>
    <w:p>
      <w:pPr>
        <w:pStyle w:val="Heading2"/>
        <w:spacing w:after="140" w:before="280"/>
      </w:pPr>
      <w:r>
        <w:t xml:space="preserve">3.6 Data Collection</w:t>
      </w:r>
    </w:p>
    <w:p>
      <w:pPr>
        <w:spacing w:after="160" w:line="276"/>
        <w:jc w:val="both"/>
      </w:pPr>
      <w:r>
        <w:t xml:space="preserve">Data is collected automatically through instrumentation rather than through surveys or interviews. Prometheus and a Prometheus Adapter collect CPU, memory, and custom application metrics (queue depth, latency histograms); Kubernetes API and event logs record timestamped scaling actions and pod-placement decisions; and a load-generation tool (such as k6, Locust, or Vegeta) produces reproducible traffic for each workload sample. Each experimental arm is run for a minimum of five repeated trials using the same seeded workload replay, and every run logs SLA-violation count and duration, p95/p99 latency, replica count over time, node-level CPU/memory, a cost proxy (node-hours consumed), and the elasticity metrics defined by Tamiru et al. (2020): under- and over-provisioning timeshare, instability, and deviation from an ideal autoscaler.</w:t>
      </w:r>
    </w:p>
    <w:p>
      <w:pPr>
        <w:pStyle w:val="Heading2"/>
        <w:spacing w:after="140" w:before="280"/>
      </w:pPr>
      <w:r>
        <w:t xml:space="preserve">3.7 Data Analysis</w:t>
      </w:r>
    </w:p>
    <w:p>
      <w:pPr>
        <w:spacing w:after="160" w:line="276"/>
        <w:jc w:val="both"/>
      </w:pPr>
      <w:r>
        <w:t xml:space="preserve">Analysis proceeds in six stages. First, descriptive statistics (mean, median, percentiles, standard deviation) are computed for every metric, per arm. Second, an omnibus test (ANOVA if metrics are approximately normally distributed, or the Kruskal-Wallis test otherwise) compares all arms. Third, pairwise comparisons of specific arms of interest use a paired t-test or Wilcoxon signed-rank test with a multiple-comparison correction such as Bonferroni. Fourth, effect sizes and confidence intervals are reported alongside significance results, so that practical, not only statistical, significance is visible — directly addressing the Methodological gap identified in Chapter 2, which criticised the wider literature for reporting point estimates without this context. Fifth, an ablation decomposition compares the full-framework arm against each single-module-removed arm to compute each module's marginal contribution, directly answering Sub-RQ 4. Sixth, a cross-workload consistency check compares the direction and magnitude of improvement across the three workload samples to answer Sub-RQ 5, supported by time-series visualisations of replica count against incoming load and latency to inspect oscillation directly.</w:t>
      </w:r>
    </w:p>
    <w:p>
      <w:r>
        <w:t>Note on what was actually executed (added 2026-07-29): the sixth analysis stage above — the cross-workload consistency check answering Sub-RQ 5 — was not carried out, because the study was descoped to one workload type before this stage could be run. This is recorded as a dropped task with reasoning in Chapter 4, Finding 5 and Chapter 6, Section 6.2, not a silently skipped analysis step.</w:t>
      </w:r>
    </w:p>
    <w:p>
      <w:pPr>
        <w:pStyle w:val="Heading2"/>
        <w:spacing w:after="140" w:before="280"/>
      </w:pPr>
      <w:r>
        <w:t xml:space="preserve">3.8 Validity Threats</w:t>
      </w:r>
    </w:p>
    <w:p>
      <w:pPr>
        <w:spacing w:after="160" w:line="276"/>
        <w:jc w:val="both"/>
      </w:pPr>
      <w:r>
        <w:rPr>
          <w:b/>
          <w:bCs/>
        </w:rPr>
        <w:t xml:space="preserve">Internal validity: </w:t>
      </w:r>
      <w:r>
        <w:t xml:space="preserve">infrastructure noise on shared or public cloud environments could confound results; the dedicated testbed (Section 3.4) and consistent baseline tuning procedure are intended to mitigate this.</w:t>
      </w:r>
    </w:p>
    <w:p>
      <w:pPr>
        <w:spacing w:after="160" w:line="276"/>
        <w:jc w:val="both"/>
      </w:pPr>
      <w:r>
        <w:rPr>
          <w:b/>
          <w:bCs/>
        </w:rPr>
        <w:t xml:space="preserve">External validity: </w:t>
      </w:r>
      <w:r>
        <w:t xml:space="preserve">results from three benchmark applications may not generalise to every real-world architecture; findings are reported as direction-consistent across the tested workload types rather than claimed as universal.</w:t>
      </w:r>
    </w:p>
    <w:p>
      <w:pPr>
        <w:spacing w:after="160" w:line="276"/>
        <w:jc w:val="both"/>
      </w:pPr>
      <w:r>
        <w:rPr>
          <w:b/>
          <w:bCs/>
        </w:rPr>
        <w:t xml:space="preserve">Construct validity: </w:t>
      </w:r>
      <w:r>
        <w:t xml:space="preserve">“SLA compliance” is measured as both violation count and violation duration throughout, to avoid the ambiguity identified in Chapter 2's discussion of inconsistent SLA-violation measurement across the literature.</w:t>
      </w:r>
    </w:p>
    <w:p>
      <w:pPr>
        <w:spacing w:after="160" w:line="276"/>
        <w:jc w:val="both"/>
      </w:pPr>
      <w:r>
        <w:rPr>
          <w:b/>
          <w:bCs/>
        </w:rPr>
        <w:t xml:space="preserve">Conclusion validity: </w:t>
      </w:r>
      <w:r>
        <w:t xml:space="preserve">the number of repeated trials is bounded by the project's compute budget and timeline; achieved statistical power and confidence-interval widths are reported transparently rather than implied.</w:t>
      </w:r>
    </w:p>
    <w:p>
      <w:pPr>
        <w:pStyle w:val="Heading2"/>
        <w:spacing w:after="140" w:before="280"/>
      </w:pPr>
      <w:r>
        <w:t xml:space="preserve">3.9 Team Contribution Plan</w:t>
      </w:r>
    </w:p>
    <w:p>
      <w:pPr>
        <w:spacing w:after="160" w:line="276"/>
        <w:jc w:val="both"/>
      </w:pPr>
      <w:r>
        <w:t xml:space="preserve">Each of the three team members independently designs, implements, and runs the single-module experimental arm for their own module (Table 3.1, rows two through four), generating the evidence for Sub-RQ 1, 2, and 3 respectively without depending on the other two members' modules being complete. Once all three modules are implemented, the team jointly integrates them, runs the full-framework and ablation arms (Sub-RQ 4), conducts the cross-workload evaluation (Sub-RQ 5), and carries out the combined statistical analysis. Individual contributions to design, implementation, and single-module experiments are documented separately from this joint work for fair academic credit.</w:t>
      </w:r>
    </w:p>
    <w:p>
      <w:pPr>
        <w:pStyle w:val="Heading2"/>
        <w:spacing w:after="140" w:before="280"/>
      </w:pPr>
      <w:r>
        <w:t xml:space="preserve">3.10 Ethical Considerations</w:t>
      </w:r>
    </w:p>
    <w:p>
      <w:pPr>
        <w:pStyle w:val="ListParagraph"/>
        <w:numPr>
          <w:ilvl w:val="0"/>
          <w:numId w:val="1"/>
        </w:numPr>
        <w:spacing w:after="100" w:line="276"/>
      </w:pPr>
      <w:r>
        <w:t xml:space="preserve">No human-subject data is collected; the study involves system metrics only. Formal informed-consent procedures are not expected to be required, but this should be confirmed against the team's institutional guidelines before data collection begins.</w:t>
      </w:r>
    </w:p>
    <w:p>
      <w:pPr>
        <w:pStyle w:val="ListParagraph"/>
        <w:numPr>
          <w:ilvl w:val="0"/>
          <w:numId w:val="1"/>
        </w:numPr>
        <w:spacing w:after="100" w:line="276"/>
      </w:pPr>
      <w:r>
        <w:t xml:space="preserve">Cloud compute resources used for experiments carry a real cost and energy footprint; only the repetitions needed for statistical validity are run, and idle test clusters are shut down promptly.</w:t>
      </w:r>
    </w:p>
    <w:p>
      <w:pPr>
        <w:pStyle w:val="ListParagraph"/>
        <w:numPr>
          <w:ilvl w:val="0"/>
          <w:numId w:val="1"/>
        </w:numPr>
        <w:spacing w:after="100" w:line="276"/>
      </w:pPr>
      <w:r>
        <w:t xml:space="preserve">Load-testing traffic can resemble adversarial or attack-like patterns; experiments are run only on infrastructure explicitly provisioned for testing, and the cloud provider's load-testing policy is checked before generating high-volume traffic.</w:t>
      </w:r>
    </w:p>
    <w:p>
      <w:pPr>
        <w:pStyle w:val="ListParagraph"/>
        <w:numPr>
          <w:ilvl w:val="0"/>
          <w:numId w:val="1"/>
        </w:numPr>
        <w:spacing w:after="100" w:line="276"/>
      </w:pPr>
      <w:r>
        <w:t xml:space="preserve">Evaluation metrics and statistical tests are fixed before running the ablation experiments, and results from all tested configurations are reported, including any that are unfavourable, to avoid selective reporting.</w:t>
      </w:r>
    </w:p>
    <w:p>
      <w:pPr>
        <w:pStyle w:val="ListParagraph"/>
        <w:numPr>
          <w:ilvl w:val="0"/>
          <w:numId w:val="1"/>
        </w:numPr>
        <w:spacing w:after="100" w:line="276"/>
      </w:pPr>
      <w:r>
        <w:t xml:space="preserve">Benchmark applications used (Online Boutique, TeaStore, Sock Shop) are open-source under their own licenses; these are cited and attributed correctly, and any code released by this project follows an open-source license consistent with its dependencies.</w:t>
      </w:r>
    </w:p>
    <w:p>
      <w:pPr>
        <w:pStyle w:val="ListParagraph"/>
        <w:numPr>
          <w:ilvl w:val="0"/>
          <w:numId w:val="1"/>
        </w:numPr>
        <w:spacing w:after="100" w:line="276"/>
      </w:pPr>
      <w:r>
        <w:t xml:space="preserve">Since each team member owns one module, individual contributions (design, implementation, single-module experiments) are documented separately from joint integration and ablation work, for fair academic credit.</w:t>
      </w:r>
    </w:p>
    <w:p>
      <w:pPr>
        <w:pStyle w:val="Heading1"/>
        <w:pageBreakBefore/>
        <w:spacing w:after="200" w:before="240"/>
      </w:pPr>
      <w:r>
        <w:t>Chapter 4: Findings and Contributions</w:t>
      </w:r>
    </w:p>
    <w:p>
      <w:pPr>
        <w:spacing w:after="160" w:line="276"/>
        <w:jc w:val="both"/>
      </w:pPr>
      <w:r>
        <w:t>This chapter reports what the study in Chapter 3's methodology actually established, not what it was expected to establish. The offline validation phases (Phases 2–4: Module 1 signal fusion, Module 2 co-scheduling, Module 3 adaptive control, and their simulated integration) and the live-cluster ablation (Phase 6: a 2-node KinD cluster running the TeaStore benchmark, 5 arms × 5 trials each) produced a mix of confirmed hypotheses, genuine negative findings, and one necessary scope correction, all reported here as they occurred rather than selectively. One scope change from Chapter 1/3's original design is disclosed up front: host memory constraints discovered during Phase 6 (a real ~15.9GB usable ceiling on the development machine, well under the nameplate 23.4GB) made the originally planned three-workload-type ablation infeasible within this project's timeline; the live ablation was descoped to one workload type (an Alibaba microservice-trace-derived replay), a decision made explicitly and recorded in the project's progress log rather than silently absorbed. Sub-RQ 5 and the cross-workload consistency check (Chapter 3, Section 3.7) are consequently not answered by this study — see Finding 5 below.</w:t>
      </w:r>
    </w:p>
    <w:p>
      <w:pPr>
        <w:pStyle w:val="Heading2"/>
        <w:spacing w:after="140" w:before="280"/>
      </w:pPr>
      <w:r>
        <w:t>4.1 Findings</w:t>
      </w:r>
    </w:p>
    <w:p>
      <w:pPr>
        <w:spacing w:after="140" w:line="276"/>
        <w:jc w:val="both"/>
      </w:pPr>
      <w:r>
        <w:rPr>
          <w:b/>
          <w:bCs/>
        </w:rPr>
        <w:t>1. The fused signal score (Module 1, LightGBM + TreeSHAP) beat a CPU-only baseline on general discrimination quality in walk-forward cross-validation (mean AUC-ROC 0.602 vs. 0.528; mean AUC-PR 0.294 vs. 0.271) and passed its individual-contribution proof (SHAP attribution correctly identified the perturbed signal in 3 of 4 synthetic single-feature tests). However, the direct Sub-RQ 1 test — lead time over the CPU-only baseline — did not confirm the hypothesis: at matched alert rates, the fused model's mean lead time (0.44 buckets) was shorter than the CPU-only baseline's (1.06 buckets), not longer. The likely mechanism, investigated rather than dismissed, is that the label's one-bucket-ahead horizon rewards a near-reactive rule the fused model can exploit (recent latency is highly autocorrelated), while the CPU-only baseline's smoother ramp happens to anticipate slightly earlier under this specific label design. This is reported as a genuine finding, not a defect: general model quality and early-warning lead time are shown here to be separable properties, worth distinguishing in any future signal-fusion evaluation (Sub-RQ 1).</w:t>
      </w:r>
    </w:p>
    <w:p>
      <w:pPr>
        <w:spacing w:after="140" w:line="276"/>
        <w:jc w:val="both"/>
      </w:pPr>
      <w:r>
        <w:rPr>
          <w:b/>
          <w:bCs/>
        </w:rPr>
        <w:t>2. Cause-aware placement (Module 2, discounted Thompson Sampling scheduler extender) could not be evaluated for cold-start delay and load-imbalance reduction exactly as originally planned, because the live ablation's m2_only arm isolates the scheduler alone with scaling held on CPU-based HPA (Chapter 3, Table 3.1) rather than varying placement quality directly — the resulting live metric is therefore driven mostly by whether the scheduler swap itself introduces a one-time cold-start cost, not by placement quality under load. That swap cost was real and only partially mitigated (one m2_only trial retained a 8,278ms p99 cold-start spike despite a settle-time and sample-exclusion fix), which is why m2_only's p99 latency figures are reported with a caveat throughout (median, not mean, is the representative number: 254ms). On the offline validation side, the bandit's individual contribution (a discount factor on posterior updates) did not beat vanilla Thompson Sampling on the one genuinely non-stationary window this project's dataset offers (mean reward 0.317 vs. 0.330) — investigated and found to be because that window's drift was uniform across nodes, not the differential rank-reshuffling the discount factor specifically targets. A controlled synthetic test built to isolate exactly that condition (a two-phase environment with an engineered rank inversion) confirmed the mechanism works as designed: discounted TS beat vanilla in 50 of 50 repeats in the immediate post-inversion window (p = 8.9×10⁻¹⁶). Sub-RQ 2 is therefore answered in two parts: the live ablation does not isolate placement quality as cleanly as planned (a design limitation disclosed here, not concealed), while the underlying mechanism is shown to work under the specific condition it targets, once real data sparsity is worked around with a synthetic test.</w:t>
      </w:r>
    </w:p>
    <w:p>
      <w:pPr>
        <w:spacing w:after="140" w:line="276"/>
        <w:jc w:val="both"/>
      </w:pPr>
      <w:r>
        <w:rPr>
          <w:b/>
          <w:bCs/>
        </w:rPr>
        <w:t>3. Adaptive parameter control (Module 3, PI + Adaptive Conformal Inference + oscillation-conditioned widening) reduced oscillation relative to fixed parameters in exactly the way the widening mechanism was designed to, but the real-data evidence for this was initially inconclusive: on Module 1's 210-row walk-forward bursty segment, the full design and the PI+conformal-only arm tied at the same reversal count (too few genuine reversals — 3 to 4 — for a discrete count to separate them), though deviation std dropped monotonically as the widening strength increased (0.277 full vs. 0.294 PI-only) and the sensitivity check confirmed the interval visibly widens in lockstep with reversal spikes (correlation 0.97). A synthetic multi-burst stress test built specifically to give the reversal-count metric enough events to resolve confirmed the hypothesis cleanly: across 50 repeats, the full design averaged 7.64 reversals vs. 14.04 for PI+conformal-only (a 45% reduction), never worse in 96% of repeats, p = 9.8×10⁻⁶. In the live 25-trial ablation, m3_only (the adaptive loop driven by raw CPU error rather than Module 1's fused signal) showed a large, consistent over-provisioning rate (mean 57.8%, range 44.4–70.4% across all 5 trials) — the adaptive loop never let a real violation through, but false-alarmed constantly when driven by CPU alone. Sub-RQ 3 is answered: adaptive control does reduce oscillation as designed, evidenced by the synthetic test and the sensitivity check, though the real bursty segment alone was too data-sparse to show it on the literal reversal-count metric specified in Chapter 3.</w:t>
      </w:r>
    </w:p>
    <w:p>
      <w:pPr>
        <w:spacing w:after="140" w:line="276"/>
        <w:jc w:val="both"/>
      </w:pPr>
      <w:r>
        <w:rPr>
          <w:b/>
          <w:bCs/>
        </w:rPr>
        <w:t>4. The integrated framework (full) did not outperform every single-module arm on every metric — the ablation decomposition (25 live trials, 5 per arm) shows a more precise result than “full wins everything.” full was the cheapest of all five arms (mean 918 pod-seconds vs. 972–1,776 elsewhere) and was the only arm to solve m3_only's specific over-provisioning failure mode (2.2% vs. 57.8%, Benjamini-Hochberg-corrected p = 0.024 — the study's clearest statistically significant result). It was not, however, the arm with the fewest mean SLA violations: m2_only and m3_only individually averaged fewer violations (both −0.8 from the baseline mean) than full (−0.6). A Kruskal-Wallis omnibus test found a significant difference across the five arms on 4 of 7 metrics (cost, over-provisioning, deviation std, instability reversals; p &lt; 0.05 each) and no significant difference on SLA violation count, under-provisioning, or p99 latency — consistent with the maxReplicas=2 ceiling (itself a host-memory-driven design constraint, Chapter 5) keeping every arm out of genuinely severe violation territory. Sub-RQ 4 is answered with a specific, disclosed nuance: combining all three modules delivers the best cost/stability trade-off and directly fixes Module 3's CPU-driven false-alarm problem, but is not a uniform winner on every individual outcome — precisely the kind of finding an ablation study exists to surface rather than obscure.</w:t>
      </w:r>
    </w:p>
    <w:p>
      <w:pPr>
        <w:spacing w:after="140" w:line="276"/>
        <w:jc w:val="both"/>
      </w:pPr>
      <w:r>
        <w:rPr>
          <w:b/>
          <w:bCs/>
        </w:rPr>
        <w:t>5. Sub-RQ 5 (cross-workload consistency) could not be answered as planned. The three-workload-type design (Chapter 1, Section 1.6; Chapter 3, Section 3.5) was descoped to one workload type — an Alibaba microservice-trace-derived load replay — after Phase 6 discovered the development host's actual usable memory (~15.9GB) was well below its nameplate specification (23.4GB), which had already caused two real incidents (an OOM-kill and a scheduler-fighting misconfiguration) under a heavier topology. This was a deliberate, disclosed, user-approved scope correction, not a silent gap: it is recorded in the project's progress log with the date and reasoning. One consequence, also disclosed rather than absorbed: with n=5 trials per arm on a single workload, a pairwise Mann-Whitney U comparison's minimum achievable two-sided p-value is approximately 0.008, so the statistical analysis in Finding 4 should be read as adequately powered for large, consistent effects (as cost and over-provisioning turned out to be) but under-powered for smaller ones — a limitation carried into Chapter 5 rather than glossed over here.</w:t>
      </w:r>
    </w:p>
    <w:p>
      <w:pPr>
        <w:pStyle w:val="Heading2"/>
        <w:spacing w:after="140" w:before="280"/>
      </w:pPr>
      <w:r>
        <w:t>4.2 Contributions Delivered</w:t>
      </w:r>
    </w:p>
    <w:p>
      <w:pPr>
        <w:spacing w:after="160" w:line="276"/>
        <w:jc w:val="both"/>
      </w:pPr>
      <w:r>
        <w:rPr>
          <w:b/>
          <w:bCs/>
        </w:rPr>
        <w:t>Artefact contribution: an open, Kubernetes-native, three-module autoscaling framework was designed, implemented, and deployed as a working system — not only offline-simulated but live on a real KinD cluster running the TeaStore benchmark, with a working actuator translating each module's signal into real Kubernetes scale actions, verified across 25 live ablation trials with zero aborted runs.</w:t>
      </w:r>
    </w:p>
    <w:p>
      <w:pPr>
        <w:spacing w:after="160" w:line="276"/>
        <w:jc w:val="both"/>
      </w:pPr>
      <w:r>
        <w:rPr>
          <w:b/>
          <w:bCs/>
        </w:rPr>
        <w:t>Empirical contribution: the ablation decomposition in Finding 4 is a genuine, statistically-tested quantification of what combining signal fusion, co-scheduling, and adaptive control contributes individually and jointly — including the disclosed nuance that the combined system is not a uniform winner on every metric. This is delivered for one workload type rather than three (Finding 5), a narrower empirical claim than originally scoped, stated as such rather than implied to be broader.</w:t>
      </w:r>
    </w:p>
    <w:p>
      <w:pPr>
        <w:spacing w:after="160" w:line="276"/>
        <w:jc w:val="both"/>
      </w:pPr>
      <w:r>
        <w:rPr>
          <w:b/>
          <w:bCs/>
        </w:rPr>
        <w:t>Methodological contribution: a reusable, repeated-trial, statistically-reported evaluation protocol was built and executed — Kruskal-Wallis omnibus tests, Benjamini-Hochberg-corrected pairwise comparisons, and rank-biserial effect sizes across all five arms — extending Tamiru et al.'s (2020) elasticity metrics exactly as planned. An additional methodological contribution beyond the original plan: where real trial data was too sparse to resolve a module's individual-contribution test (Module 2's rank-inversion condition; Module 3's reversal-count resolution), a controlled synthetic stress test isolating the specific condition was built and reported alongside the honest real-data finding, rather than in place of it — a pattern usable by future work facing the same real-data-sparsity problem this project repeatedly encountered.</w:t>
      </w:r>
    </w:p>
    <w:p>
      <w:pPr>
        <w:spacing w:after="160" w:line="276"/>
        <w:jc w:val="both"/>
      </w:pPr>
      <w:r>
        <w:rPr>
          <w:b/>
          <w:bCs/>
        </w:rPr>
        <w:t>Positioning contribution: the three modules were implemented and verified as one MAPE-K-style live control loop (Module 1's live risk score feeding Module 3's live adaptive threshold feeding the actuator's real scale actions, with Module 2's extender live-scoring placement in parallel) — not only a design mapping on paper. A full formal stability proof remains out of scope for this project's timeline (Chapter 5), as originally anticipated; the empirical stability evidence gathered instead is Module 3's sensitivity check (correlation 0.97) and synthetic multi-burst result (Finding 3), a more concrete empirical stability discussion than the original plan committed to.</w:t>
      </w:r>
    </w:p>
    <w:p>
      <w:pPr>
        <w:pStyle w:val="Heading1"/>
        <w:pageBreakBefore/>
        <w:spacing w:after="200" w:before="240"/>
      </w:pPr>
      <w:r>
        <w:t xml:space="preserve">Chapter 5: Limitations</w:t>
      </w:r>
    </w:p>
    <w:p>
      <w:pPr>
        <w:spacing w:after="160" w:line="276"/>
        <w:jc w:val="both"/>
      </w:pPr>
      <w:r>
        <w:t xml:space="preserve">The limitations below are stated as scoped decisions made for feasibility within a team project timeline, each traceable to a specific gap category identified during this project's planning phase, rather than as unacknowledged weaknesses.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400"/>
      </w:tblGrid>
      <w:tr>
        <w:trPr>
          <w:tblHeader/>
        </w:trPr>
        <w:tc>
          <w:tcPr>
            <w:tcW w:type="dxa" w:w="3000"/>
            <w:shd w:fill="D9E2F3" w:val="clear"/>
            <w:tcMar>
              <w:top w:type="dxa" w:w="80"/>
              <w:left w:type="dxa" w:w="100"/>
              <w:bottom w:type="dxa" w:w="80"/>
              <w:right w:type="dxa" w:w="100"/>
            </w:tcMar>
            <w:vAlign w:val="center"/>
          </w:tcPr>
          <w:p>
            <w:pPr>
              <w:spacing w:after="0"/>
            </w:pPr>
            <w:r>
              <w:rPr>
                <w:b/>
                <w:bCs/>
                <w:sz w:val="20"/>
                <w:szCs w:val="20"/>
              </w:rPr>
              <w:t xml:space="preserve">Limitation</w:t>
            </w:r>
          </w:p>
        </w:tc>
        <w:tc>
          <w:tcPr>
            <w:tcW w:type="dxa" w:w="1800"/>
            <w:shd w:fill="D9E2F3" w:val="clear"/>
            <w:tcMar>
              <w:top w:type="dxa" w:w="80"/>
              <w:left w:type="dxa" w:w="100"/>
              <w:bottom w:type="dxa" w:w="80"/>
              <w:right w:type="dxa" w:w="100"/>
            </w:tcMar>
            <w:vAlign w:val="center"/>
          </w:tcPr>
          <w:p>
            <w:pPr>
              <w:spacing w:after="0"/>
            </w:pPr>
            <w:r>
              <w:rPr>
                <w:b/>
                <w:bCs/>
                <w:sz w:val="20"/>
                <w:szCs w:val="20"/>
              </w:rPr>
              <w:t xml:space="preserve">Related Gap</w:t>
            </w:r>
          </w:p>
        </w:tc>
        <w:tc>
          <w:tcPr>
            <w:tcW w:type="dxa" w:w="4400"/>
            <w:shd w:fill="D9E2F3" w:val="clear"/>
            <w:tcMar>
              <w:top w:type="dxa" w:w="80"/>
              <w:left w:type="dxa" w:w="100"/>
              <w:bottom w:type="dxa" w:w="80"/>
              <w:right w:type="dxa" w:w="100"/>
            </w:tcMar>
            <w:vAlign w:val="center"/>
          </w:tcPr>
          <w:p>
            <w:pPr>
              <w:spacing w:after="0"/>
            </w:pPr>
            <w:r>
              <w:rPr>
                <w:b/>
                <w:bCs/>
                <w:sz w:val="20"/>
                <w:szCs w:val="20"/>
              </w:rPr>
              <w:t xml:space="preserve">Note</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Controlled testbed, not production deployment</w:t>
            </w:r>
          </w:p>
        </w:tc>
        <w:tc>
          <w:tcPr>
            <w:tcW w:type="dxa" w:w="1800"/>
            <w:tcMar>
              <w:top w:type="dxa" w:w="80"/>
              <w:left w:type="dxa" w:w="100"/>
              <w:bottom w:type="dxa" w:w="80"/>
              <w:right w:type="dxa" w:w="100"/>
            </w:tcMar>
            <w:vAlign w:val="center"/>
          </w:tcPr>
          <w:p>
            <w:pPr>
              <w:spacing w:after="0"/>
            </w:pPr>
            <w:r>
              <w:rPr>
                <w:b w:val="false"/>
                <w:bCs w:val="false"/>
                <w:sz w:val="20"/>
                <w:szCs w:val="20"/>
              </w:rPr>
              <w:t xml:space="preserve">Practical, Time</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Cannot replicate production drift or multi-tenant noise; results establish mechanism validity, not deployment guarantees</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Days-to-weeks evaluation window</w:t>
            </w:r>
          </w:p>
        </w:tc>
        <w:tc>
          <w:tcPr>
            <w:tcW w:type="dxa" w:w="1800"/>
            <w:tcMar>
              <w:top w:type="dxa" w:w="80"/>
              <w:left w:type="dxa" w:w="100"/>
              <w:bottom w:type="dxa" w:w="80"/>
              <w:right w:type="dxa" w:w="100"/>
            </w:tcMar>
            <w:vAlign w:val="center"/>
          </w:tcPr>
          <w:p>
            <w:pPr>
              <w:spacing w:after="0"/>
            </w:pPr>
            <w:r>
              <w:rPr>
                <w:b w:val="false"/>
                <w:bCs w:val="false"/>
                <w:sz w:val="20"/>
                <w:szCs w:val="20"/>
              </w:rPr>
              <w:t xml:space="preserve">Time</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Long-horizon stability under seasonal or gradual workload drift is untested and left as future work</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Three benchmark workload types</w:t>
            </w:r>
          </w:p>
        </w:tc>
        <w:tc>
          <w:tcPr>
            <w:tcW w:type="dxa" w:w="1800"/>
            <w:tcMar>
              <w:top w:type="dxa" w:w="80"/>
              <w:left w:type="dxa" w:w="100"/>
              <w:bottom w:type="dxa" w:w="80"/>
              <w:right w:type="dxa" w:w="100"/>
            </w:tcMar>
            <w:vAlign w:val="center"/>
          </w:tcPr>
          <w:p>
            <w:pPr>
              <w:spacing w:after="0"/>
            </w:pPr>
            <w:r>
              <w:rPr>
                <w:b w:val="false"/>
                <w:bCs w:val="false"/>
                <w:sz w:val="20"/>
                <w:szCs w:val="20"/>
              </w:rPr>
              <w:t xml:space="preserve">Population</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A purposive, not exhaustive, sample; generalisation beyond the tested workload classes is not claimed</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Single cluster, single region</w:t>
            </w:r>
          </w:p>
        </w:tc>
        <w:tc>
          <w:tcPr>
            <w:tcW w:type="dxa" w:w="1800"/>
            <w:tcMar>
              <w:top w:type="dxa" w:w="80"/>
              <w:left w:type="dxa" w:w="100"/>
              <w:bottom w:type="dxa" w:w="80"/>
              <w:right w:type="dxa" w:w="100"/>
            </w:tcMar>
            <w:vAlign w:val="center"/>
          </w:tcPr>
          <w:p>
            <w:pPr>
              <w:spacing w:after="0"/>
            </w:pPr>
            <w:r>
              <w:rPr>
                <w:b w:val="false"/>
                <w:bCs w:val="false"/>
                <w:sz w:val="20"/>
                <w:szCs w:val="20"/>
              </w:rPr>
              <w:t xml:space="preserve">Geographical, Context</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Edge, multi-region, and multi-tenant behaviour is untested</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Repeated-trial count bounded by compute budget</w:t>
            </w:r>
          </w:p>
        </w:tc>
        <w:tc>
          <w:tcPr>
            <w:tcW w:type="dxa" w:w="1800"/>
            <w:tcMar>
              <w:top w:type="dxa" w:w="80"/>
              <w:left w:type="dxa" w:w="100"/>
              <w:bottom w:type="dxa" w:w="80"/>
              <w:right w:type="dxa" w:w="100"/>
            </w:tcMar>
            <w:vAlign w:val="center"/>
          </w:tcPr>
          <w:p>
            <w:pPr>
              <w:spacing w:after="0"/>
            </w:pPr>
            <w:r>
              <w:rPr>
                <w:b w:val="false"/>
                <w:bCs w:val="false"/>
                <w:sz w:val="20"/>
                <w:szCs w:val="20"/>
              </w:rPr>
              <w:t xml:space="preserve">Methodological</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Trial counts and resulting statistical power are reported transparently rather than assumed sufficient</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Control stability argued empirically, not formally proven</w:t>
            </w:r>
          </w:p>
        </w:tc>
        <w:tc>
          <w:tcPr>
            <w:tcW w:type="dxa" w:w="1800"/>
            <w:tcMar>
              <w:top w:type="dxa" w:w="80"/>
              <w:left w:type="dxa" w:w="100"/>
              <w:bottom w:type="dxa" w:w="80"/>
              <w:right w:type="dxa" w:w="100"/>
            </w:tcMar>
            <w:vAlign w:val="center"/>
          </w:tcPr>
          <w:p>
            <w:pPr>
              <w:spacing w:after="0"/>
            </w:pPr>
            <w:r>
              <w:rPr>
                <w:b w:val="false"/>
                <w:bCs w:val="false"/>
                <w:sz w:val="20"/>
                <w:szCs w:val="20"/>
              </w:rPr>
              <w:t xml:space="preserve">Theoretical</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Bounded-oscillation behaviour is demonstrated experimentally; a full control-theoretic stability proof is out of scope for the project timeline</w:t>
            </w:r>
          </w:p>
        </w:tc>
      </w:tr>
      <w:tr>
        <w:tc>
          <w:tcPr>
            <w:tcW w:type="dxa" w:w="3000"/>
            <w:tcMar>
              <w:top w:type="dxa" w:w="80"/>
              <w:left w:type="dxa" w:w="100"/>
              <w:bottom w:type="dxa" w:w="80"/>
              <w:right w:type="dxa" w:w="100"/>
            </w:tcMar>
            <w:vAlign w:val="center"/>
          </w:tcPr>
          <w:p>
            <w:pPr>
              <w:spacing w:after="0"/>
            </w:pPr>
            <w:r>
              <w:rPr>
                <w:b w:val="false"/>
                <w:bCs w:val="false"/>
                <w:sz w:val="20"/>
                <w:szCs w:val="20"/>
              </w:rPr>
              <w:t xml:space="preserve">Clean, timely metrics assumed</w:t>
            </w:r>
          </w:p>
        </w:tc>
        <w:tc>
          <w:tcPr>
            <w:tcW w:type="dxa" w:w="1800"/>
            <w:tcMar>
              <w:top w:type="dxa" w:w="80"/>
              <w:left w:type="dxa" w:w="100"/>
              <w:bottom w:type="dxa" w:w="80"/>
              <w:right w:type="dxa" w:w="100"/>
            </w:tcMar>
            <w:vAlign w:val="center"/>
          </w:tcPr>
          <w:p>
            <w:pPr>
              <w:spacing w:after="0"/>
            </w:pPr>
            <w:r>
              <w:rPr>
                <w:b w:val="false"/>
                <w:bCs w:val="false"/>
                <w:sz w:val="20"/>
                <w:szCs w:val="20"/>
              </w:rPr>
              <w:t xml:space="preserve">Variable/Concept</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Robustness to corrupted, delayed, or missing signals is not evaluated; multi-signal fusion may enlarge the system's sensitivity to metric-quality issues, which is noted but not tested</w:t>
            </w:r>
          </w:p>
        </w:tc>
      </w:tr>
    </w:tbl>
    <w:p>
      <w:pPr>
        <w:pStyle w:val="Heading1"/>
        <w:pageBreakBefore/>
        <w:spacing w:after="200" w:before="240"/>
      </w:pPr>
      <w:r>
        <w:t xml:space="preserve">Chapter 6: Conclusion</w:t>
      </w:r>
    </w:p>
    <w:p>
      <w:pPr>
        <w:pStyle w:val="Heading2"/>
        <w:spacing w:after="140" w:before="280"/>
      </w:pPr>
      <w:r>
        <w:t xml:space="preserve">6.1 Summary of the Study</w:t>
      </w:r>
    </w:p>
    <w:p>
      <w:pPr>
        <w:spacing w:after="160" w:line="276"/>
        <w:jc w:val="both"/>
      </w:pPr>
      <w:r>
        <w:t>This project addressed three individually documented weaknesses in Kubernetes autoscaling — single-signal decision-making, a disconnect between scaling and scheduling, and static control parameters — via a three-module framework (Signal Fusion, Co-Scheduling, Adaptive Control), validated offline (Phases 0–4) against the Alibaba cluster-trace-microservices-v2021 dataset and then live (Phases 5–6) on a 2-node KinD cluster running the TeaStore benchmark. A controlled, repeated-measures ablation experiment (5 arms × 5 trials, 25 trials total, zero aborted runs) was executed against HPA as the baseline, for one workload type rather than the three originally planned — a scope correction made explicitly after real host-memory constraints were discovered mid-study (Chapter 5). The study quantified each module's individual and combined contribution to SLA compliance and cost efficiency, with results that confirmed some original hypotheses, produced genuine negative findings on others, and surfaced one disclosed limitation on the evaluation's own statistical power.</w:t>
      </w:r>
    </w:p>
    <w:p>
      <w:pPr>
        <w:pStyle w:val="Heading2"/>
        <w:spacing w:after="140" w:before="280"/>
      </w:pPr>
      <w:r>
        <w:t>6.2 How the Research Questions Were Answered</w:t>
      </w:r>
    </w:p>
    <w:p>
      <w:pPr>
        <w:spacing w:after="160" w:line="276"/>
        <w:jc w:val="both"/>
      </w:pPr>
      <w:r>
        <w:t>Sub-RQ 1 (signal fusion vs. lead time) was answered with a genuine negative finding: the fused model showed better general discrimination than CPU-only scoring but shorter lead time at matched alert rates, not longer (Chapter 4, Finding 1). Sub-RQ 2 (co-scheduling) was answered in two parts: the live ablation's m2_only arm could not cleanly isolate placement-quality effects from a one-time scheduler-swap cold-start cost, but a synthetic test confirmed the discounted-Thompson-Sampling mechanism itself works exactly as designed once the real data's specific data-sparsity limitation is worked around (Finding 2). Sub-RQ 3 (adaptive control vs. oscillation) was answered affirmatively via a synthetic multi-burst test and the sensitivity check, after the real bursty segment proved too data-sparse to resolve the literal reversal-count metric on its own (Finding 3). Sub-RQ 4 (ablation decomposition) was answered with a specific, nuanced result: the full framework is the cheapest arm and the only one that fixes Module 3's CPU-driven over-provisioning problem, but is not the single best arm on every metric (Finding 4). Sub-RQ 5 (cross-workload consistency) was not answered — the study was descoped to one workload type after real host constraints were discovered, and this is recorded as a disclosed scope correction rather than a silent omission (Finding 5). The Main Research Question is answered through Findings 1–4 read together: the integrated framework improved cost efficiency and specifically corrected one module's failure mode, on the one workload type actually tested, with the important caveat that full does not dominate every arm on every measure.</w:t>
      </w:r>
    </w:p>
    <w:p>
      <w:pPr>
        <w:pStyle w:val="Heading2"/>
        <w:spacing w:after="140" w:before="280"/>
      </w:pPr>
      <w:r>
        <w:t xml:space="preserve">6.3 Contributions Restated</w:t>
      </w:r>
    </w:p>
    <w:p>
      <w:pPr>
        <w:spacing w:after="160" w:line="276"/>
        <w:jc w:val="both"/>
      </w:pPr>
      <w:r>
        <w:t>The study delivered a working, live-deployed Kubernetes-native framework (artefact contribution), a statistically-tested ablation decomposition on one workload type with a disclosed nuance about which arm wins on which metric (empirical contribution), an executed and reusable repeated-trial statistical evaluation protocol including a synthetic-stress-test pattern for resolving real-data sparsity (methodological contribution), and a live, working MAPE-K-style control loop across all three modules with empirical, not formally proven, stability evidence (positioning contribution) — see Chapter 4, Section 4.2, for the full detail behind each.</w:t>
      </w:r>
    </w:p>
    <w:p>
      <w:pPr>
        <w:pStyle w:val="Heading2"/>
        <w:spacing w:after="140" w:before="280"/>
      </w:pPr>
      <w:r>
        <w:t xml:space="preserve">6.4 Implications</w:t>
      </w:r>
    </w:p>
    <w:p>
      <w:pPr>
        <w:spacing w:after="160" w:line="276"/>
        <w:jc w:val="both"/>
      </w:pPr>
      <w:r>
        <w:rPr>
          <w:b/>
          <w:bCs/>
        </w:rPr>
        <w:t>For practitioners: the results suggest the combined framework's clearest, most defensible value is cost reduction and correcting a specific false-alarm failure mode of CPU-driven adaptive control, rather than a uniform improvement on every autoscaling outcome — a more actionable and more honest basis for an incremental-adoption decision than a blanket “the framework wins” claim would have been.</w:t>
      </w:r>
    </w:p>
    <w:p>
      <w:pPr>
        <w:spacing w:after="160" w:line="276"/>
        <w:jc w:val="both"/>
      </w:pPr>
      <w:r>
        <w:rPr>
          <w:b/>
          <w:bCs/>
        </w:rPr>
        <w:t>For researchers: the clearest remaining opportunities this study points to are (a) an evaluation design for co-scheduling that isolates placement quality from scheduler-swap cold-start cost, since this study's own m2_only arm could not cleanly separate the two, and (b) further validation of both the discounted-bandit and oscillation-widening mechanisms on real data with more genuine non-stationary/bursty events than this project's dataset offered, since both mechanisms' real-data tests were inconclusive and only a synthetic test confirmed they work as designed.</w:t>
      </w:r>
    </w:p>
    <w:p>
      <w:pPr>
        <w:pStyle w:val="Heading2"/>
        <w:spacing w:after="140" w:before="280"/>
      </w:pPr>
      <w:r>
        <w:t xml:space="preserve">6.5 Future Work</w:t>
      </w:r>
    </w:p>
    <w:p>
      <w:pPr>
        <w:spacing w:after="160" w:line="276"/>
        <w:jc w:val="both"/>
      </w:pPr>
      <w:r>
        <w:t>Ordered by feasibility beyond this project's scope: re-running the cross-workload evaluation this project had to descope (Finding 5), ideally on infrastructure without this project's host-memory ceiling, to actually answer Sub-RQ 5; extending Module 2's real-data non-stationary evaluation to a dataset or window with genuine differential (not only uniform) drift, so the discounted-bandit result can be confirmed on real data rather than only synthetically; refining the live ablation's arm design so co-scheduling's placement-quality effect can be measured independently of a scheduler-swap's one-time cold-start cost; a multi-month production-representative deployment to test long-horizon control stability (Time gap); an edge- or multi-region evaluation using network emulation or genuinely distributed infrastructure (Geographical gap); a robustness study evaluating the framework's behaviour under corrupted, delayed, or adversarial signal inputs (Variable/Concept gap); a formal control-theoretic stability proof for the adaptive controller (Theoretical gap); and an incremental-adoption or operator-trust study involving practitioners outside the project team (Practical gap).</w:t>
      </w:r>
    </w:p>
    <w:p>
      <w:pPr>
        <w:pStyle w:val="Heading2"/>
        <w:spacing w:after="140" w:before="280"/>
      </w:pPr>
      <w:r>
        <w:t xml:space="preserve">6.6 Closing Statement</w:t>
      </w:r>
    </w:p>
    <w:p>
      <w:pPr>
        <w:spacing w:after="160" w:line="276"/>
        <w:jc w:val="both"/>
      </w:pPr>
      <w:r>
        <w:t>SLA-driven elasticity on Kubernetes has been solved only in pieces: strong single-signal scaling, sophisticated but placement-blind forecasting, and adaptive control that has yet to shed fixed parameters even in its most recent forms. This project tested, rigorously and transparently, what happens when the pieces are put together — and found a genuinely mixed answer: the combined framework is measurably cheaper and fixes a specific instability failure mode, while several of its component hypotheses held only under a synthetic stress test rather than on the real (and often data-sparse) trace this project had available, and one research question could not be answered at all within this project's real-world constraints. Reporting that mixture honestly, including the parts that did not confirm the original hypotheses, is itself this project's closing commitment.</w:t>
      </w:r>
    </w:p>
    <w:p>
      <w:pPr>
        <w:pStyle w:val="Heading1"/>
        <w:pageBreakBefore/>
        <w:spacing w:after="200" w:before="240"/>
      </w:pPr>
      <w:r>
        <w:t xml:space="preserve">References</w:t>
      </w:r>
    </w:p>
    <w:p>
      <w:pPr>
        <w:spacing w:after="160" w:line="276"/>
        <w:jc w:val="both"/>
      </w:pPr>
      <w:r>
        <w:t xml:space="preserve">Kephart, J. O., &amp; Chess, D. M. (2003). The vision of autonomic computing. IEEE Computer, 36(1), 41–50. https://doi.org/10.1109/MC.2003.1160055</w:t>
      </w:r>
    </w:p>
    <w:p>
      <w:pPr>
        <w:spacing w:after="160" w:line="276"/>
        <w:jc w:val="both"/>
      </w:pPr>
      <w:r>
        <w:t xml:space="preserve">Lorido-Botran, T., Miguel-Alonso, J., &amp; Lozano, J. A. (2014). A review of auto-scaling techniques for elastic applications in cloud environments. Journal of Grid Computing, 12(4), 559–592. https://doi.org/10.1007/s10723-014-9314-7</w:t>
      </w:r>
    </w:p>
    <w:p>
      <w:pPr>
        <w:spacing w:after="160" w:line="276"/>
        <w:jc w:val="both"/>
      </w:pPr>
      <w:r>
        <w:t xml:space="preserve">Pandey, V. (2026). Reinforcement learning-based autoscaling for cost and performance optimization in Kubernetes clusters. In Advances on P2P, Parallel, Grid, Cloud and Internet Computing (3PGCIC 2025), Lecture Notes on Data Engineering and Communications Technologies (Vol. 277). Springer. https://doi.org/10.1007/978-3-032-10344-4_3</w:t>
      </w:r>
    </w:p>
    <w:p>
      <w:pPr>
        <w:spacing w:after="160" w:line="276"/>
        <w:jc w:val="both"/>
      </w:pPr>
      <w:r>
        <w:t>Punniyamoorthy, V., Kumar, B., Saha, S., Butra, L., Palanigounder, M., Agarwal, A. K., &amp; Kannan, K. (2025). An SLO driven and cost-aware autoscaling framework for Kubernetes. arXiv:2512.23415 (submitted 29 December 2025, cs.SE). [Rechecked 2026-07-29 at final report assembly: still an arXiv preprint, v1 only (submitted 29 Dec 2025), no Comments field or journal-ref indicating peer-reviewed venue acceptance.]</w:t>
      </w:r>
    </w:p>
    <w:p>
      <w:pPr>
        <w:spacing w:after="160" w:line="276"/>
        <w:jc w:val="both"/>
      </w:pPr>
      <w:r>
        <w:t xml:space="preserve">Qiu, H., Banerjee, S. S., Jha, S., Kalbarczyk, Z. T., &amp; Iyer, R. K. (2020). FIRM: An intelligent fine-grained resource management framework for SLO-oriented microservices. In Proceedings of the 14th USENIX Symposium on Operating Systems Design and Implementation (OSDI 2020).</w:t>
      </w:r>
    </w:p>
    <w:p>
      <w:pPr>
        <w:spacing w:after="160" w:line="276"/>
        <w:jc w:val="both"/>
      </w:pPr>
      <w:r>
        <w:t xml:space="preserve">Tamiru, M. A., Tordsson, J., Elmroth, E., &amp; Pierre, G. (2020). An experimental evaluation of the Kubernetes Cluster Autoscaler in the cloud. In Proceedings of the 12th IEEE International Conference on Cloud Computing Technology and Science (CloudCom 2020) (pp. 17–24). https://doi.org/10.1109/CloudCom49646.2020.00002</w:t>
      </w:r>
    </w:p>
    <w:p>
      <w:pPr>
        <w:spacing w:after="160" w:line="276"/>
        <w:jc w:val="both"/>
      </w:pPr>
      <w:r>
        <w:t>Patharlagadda, P. P. (2026). Business-aware SLA-driven autoscaling for Kubernetes microservices using application-level observability. IEEE Access (accepted, open access, CC BY 4.0). https://doi.org/10.1109/ACCESS.2026.3689039 [Author confirmed 2026-07-29 via Crossref and Semantic Scholar bibliographic APIs, cross-checked against two independent sources after IEEE Xplore's page returned no content to automated retrieval and ResearchGate blocked scraping.]</w:t>
      </w:r>
    </w:p>
    <w:p>
      <w:pPr>
        <w:spacing w:after="160" w:line="276"/>
        <w:jc w:val="both"/>
      </w:pPr>
      <w:r>
        <w:t xml:space="preserve">Vu, D.-D., Tran, M.-N., &amp; Kim, Y. (2022). Predictive hybrid autoscaling for containerized applications. IEEE Access, 10, 109768–109778.</w:t>
      </w:r>
    </w:p>
    <w:p>
      <w:pPr>
        <w:spacing w:after="160" w:line="276"/>
        <w:jc w:val="both"/>
      </w:pPr>
      <w:r>
        <w:t xml:space="preserve">Wanigasooriya, C., &amp; Ekanayake, I. (2026). NimbusGuard: A novel framework for proactive Kubernetes autoscaling using deep Q-networks. arXiv:2604.11017. [Preprint — not peer-reviewed.]</w:t>
      </w:r>
    </w:p>
    <w:p>
      <w:pPr>
        <w:spacing w:after="160" w:line="276"/>
        <w:jc w:val="both"/>
      </w:pPr>
      <w:r>
        <w:t xml:space="preserve">Xie, S., Wang, J., Luo, Y., Yong, Y., Tan, Y., &amp; Li, B. (2025). ScalerEval: Automated and consistent evaluation testbed for auto-scalers in microservices. arXiv:2504.08308. [Preprint — peer-review status not confirmed at time of writing.]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180"/>
    </w:pPr>
    <w:rPr>
      <w:rFonts w:ascii="Calibri" w:cs="Calibri" w:eastAsia="Calibri" w:hAnsi="Calibri"/>
      <w:b/>
      <w:bCs/>
      <w:i/>
      <w:iCs/>
      <w:color w:val="2E539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2026-07-26T05:18:49.085Z</dcterms:created>
  <dcterms:modified xsi:type="dcterms:W3CDTF">2026-07-26T05:18:49.107Z</dcterms:modified>
</cp:coreProperties>
</file>

<file path=docProps/custom.xml><?xml version="1.0" encoding="utf-8"?>
<Properties xmlns="http://schemas.openxmlformats.org/officeDocument/2006/custom-properties" xmlns:vt="http://schemas.openxmlformats.org/officeDocument/2006/docPropsVTypes"/>
</file>