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PENAWAR BAGI HATI</w:t>
      </w:r>
    </w:p>
    <w:p>
      <w:pPr>
        <w:jc w:val="center"/>
      </w:pPr>
      <w:r>
        <w:rPr>
          <w:i/>
          <w:sz w:val="26"/>
        </w:rPr>
        <w:t>Alih aksara dan bahasa Melayu Rumi moden</w:t>
      </w:r>
    </w:p>
    <w:p>
      <w:pPr>
        <w:jc w:val="center"/>
      </w:pPr>
      <w:r>
        <w:rPr>
          <w:b/>
        </w:rPr>
        <w:t>Kitab Pertama dan Bab Pertama daripada Kitab Kedua</w:t>
      </w:r>
    </w:p>
    <w:p>
      <w:r>
        <w:t>Nota penyediaan: Teks ini dialih daripada naskhah Jawi lama kepada bahasa Melayu Rumi yang lebih mudah dibaca. Susunan isi, nas al-Quran, hadis dan maksud utama dikekalkan setakat yang dapat dibaca daripada naskhah. Beberapa ejaan atau sanad dalam cetakan asal kurang jelas; bahagian tersebut ditandai secara berhati-hati dan tidak dijadikan pengesahan status hadis.</w:t>
      </w:r>
    </w:p>
    <w:p>
      <w:pPr>
        <w:pStyle w:val="Heading1"/>
      </w:pPr>
      <w:r>
        <w:t>Bahagian I: Kitab Pertama – Memelihara Tujuh Anggota</w:t>
      </w:r>
    </w:p>
    <w:p>
      <w:r>
        <w:t>Kitab pertama menerangkan tujuh anggota yang wajib dipelihara, iaitu mata, telinga, lidah, perut, kemaluan, kedua-dua tangan dan kedua-dua kaki. Setiap anggota ialah nikmat Allah yang boleh digunakan untuk maslahat akhirat dan dunia. Syukur terhadap nikmat anggota bukan sekadar ucapan, tetapi dengan menggunakannya pada ketaatan dan menjauhkannya daripada maksiat.</w:t>
      </w:r>
    </w:p>
    <w:p>
      <w:pPr>
        <w:pStyle w:val="Heading2"/>
      </w:pPr>
      <w:r>
        <w:t>Fasal Pertama: Memelihara Mata</w:t>
      </w:r>
    </w:p>
    <w:p>
      <w:r>
        <w:t>Ketahuilah bahawa Allah Taala menjadikan mata untuk pelbagai manfaat akhirat dan dunia. Antara manfaat akhirat ialah memandang langit, matahari, bulan, bintang dan seluruh kejadian sebagai dalil kewujudan, kebesaran dan kekuasaan Allah; membaca al-Quran; serta melihat jalan ke masjid dan tempat menuntut ilmu. Antara manfaat dunia pula ialah melihat keperluan hidup dan mengelakkan bahaya seperti jatuh, pelanggaran dan perkara yang memudaratkan.</w:t>
      </w:r>
    </w:p>
    <w:p>
      <w:r>
        <w:t>Maka syukur terhadap nikmat mata ialah memeliharanya daripada pandangan yang diharamkan: memandang dengan syahwat kepada orang yang bukan halal, melihat aurat, melihat perkara maksiat, atau memandang sesuatu dengan tujuan yang rosak. Allah memerintahkan orang beriman menundukkan pandangan dan memelihara kehormatan. Perbuatan itu lebih menyucikan hati dan diri.</w:t>
      </w:r>
    </w:p>
    <w:p>
      <w:r>
        <w:t>Allah mengetahui pengkhianatan mata dan segala yang disembunyikan dalam dada. Pandangan yang haram boleh menjadi permulaan kepada dosa anggota lain. Dalam hadis disebut bahawa mata mempunyai bahagiannya daripada zina, iaitu pandangan; tangan melalui sentuhan yang haram; kaki melalui perjalanan ke tempat maksiat; mulut melalui ciuman yang haram; hati melalui keinginan; lalu kemaluan membenarkan atau menolaknya.</w:t>
      </w:r>
    </w:p>
    <w:p>
      <w:r>
        <w:t>Hendaklah setiap anggota dipelihara menurut nilai perkara yang ditunggu dan diharapkan daripadanya. Mata bakal dikurniai nikmat memandang Allah di akhirat, maka sangatlah patut dijaga daripada pandangan haram di dunia.</w:t>
      </w:r>
    </w:p>
    <w:p>
      <w:pPr>
        <w:pStyle w:val="Heading2"/>
      </w:pPr>
      <w:r>
        <w:t>Fasal Kedua: Memelihara Telinga</w:t>
      </w:r>
    </w:p>
    <w:p>
      <w:r>
        <w:t>Telinga dijadikan untuk memahami perkataan, mendengar al-Quran, hadis Nabi SAW, ilmu yang bermanfaat dan nasihat yang baik. Dari sudut akhirat, manfaat pendengaran sangat besar kerana ilmu dan peringatan masuk ke dalam hati melaluinya.</w:t>
      </w:r>
    </w:p>
    <w:p>
      <w:r>
        <w:t>Peliharalah telinga daripada mendengar perkara yang dilarang seperti umpatan, adu domba, bid‘ah yang menyesatkan, pertengkaran, percakapan keji, suara yang menimbulkan fitnah, serta hiburan yang jelas membawa kepada maksiat. Orang yang sengaja mendengar dan meredai dosa percakapan boleh berkongsi kesalahannya.</w:t>
      </w:r>
    </w:p>
    <w:p>
      <w:r>
        <w:t>Perkataan yang didengar seperti makanan bagi hati. Ada yang menjadi penawar dan ada yang menjadi racun. Makanan meninggalkan perut selepas beberapa waktu, tetapi perkataan buruk boleh kekal dalam hati sepanjang umur, menimbulkan waswas dan kerosakan. Oleh itu, orang berakal bersungguh-sungguh menjaga pendengaran sebelum ditanya pada hari akhirat tentang pendengaran, penglihatan dan hati.</w:t>
      </w:r>
    </w:p>
    <w:p>
      <w:pPr>
        <w:pStyle w:val="Heading2"/>
      </w:pPr>
      <w:r>
        <w:t>Fasal Ketiga: Memelihara Lidah</w:t>
      </w:r>
    </w:p>
    <w:p>
      <w:r>
        <w:t>Allah menjadikan lidah untuk membaca al-Quran dan hadis, berzikir, menyuruh kepada kebaikan, melarang kemungkaran, memberi nasihat, memenuhi keperluan sesama Muslim, mendamaikan manusia dan melaksanakan urusan dunia yang harus seperti jual beli dan sewaan.</w:t>
      </w:r>
    </w:p>
    <w:p>
      <w:r>
        <w:t>Syukur terhadap lidah ialah menjauhkannya daripada dusta, umpatan, adu domba, mungkir janji, percakapan sia-sia, pertengkaran, cacian dan segala kata yang menyakiti orang lain. Dusta yang memudaratkan orang lain termasuk dosa besar. Dalam keadaan tertentu yang diiktiraf syarak, seperti mendamaikan manusia atau menyelamatkan orang yang dizalimi, percakapan yang bersifat perlindungan diberi kelonggaran.</w:t>
      </w:r>
    </w:p>
    <w:p>
      <w:r>
        <w:t>Umpatan ialah menyebut tentang saudara sesuatu yang tidak disukainya jika didengar, walaupun perkara itu benar. Al-Quran menyamakannya dengan memakan daging saudara yang telah mati. Pelakunya memerlukan keampunan Allah dan, berkaitan hak manusia, kemaafan orang yang dizalimi.</w:t>
      </w:r>
    </w:p>
    <w:p>
      <w:r>
        <w:t>Tanda munafik yang disebut dalam hadis ialah apabila bercakap dia berdusta, apabila berjanji dia mungkir, dan apabila diberi amanah dia khianat. Antara keelokan Islam seseorang ialah meninggalkan perkara yang tidak bermanfaat. Pengadu domba pula dihukum berat kerana memindahkan perkataan dengan tujuan merosakkan hubungan manusia.</w:t>
      </w:r>
    </w:p>
    <w:p>
      <w:r>
        <w:t>Lidah ialah anggota yang kecil tetapi sangat luas kebinasaan yang boleh ditimbulkannya. Sebab itu diam lebih selamat kecuali ketika perlu bercakap untuk belajar, mengajar, memberi nasihat dan menunaikan hak. Muaz bin Jabal RA dinasihati Nabi SAW supaya menjaga lidah. Abu Bakar al-Siddiq RA juga sangat takut terhadap bahaya lidah.</w:t>
      </w:r>
    </w:p>
    <w:p>
      <w:r>
        <w:t>Perkataan yang baik membimbing seluruh anggota, manakala perkataan jahat menyeret seluruh anggota kepada kejahatan. Setiap ucapan boleh berupa taat, maksiat atau perkara harus yang sia-sia. Ucapan taat diberi pahala; ucapan maksiat membawa azab; dan kata sia-sia memenuhi catatan amal tanpa manfaat. Oleh itu, fikirkan sebelum berkata.</w:t>
      </w:r>
    </w:p>
    <w:p>
      <w:pPr>
        <w:pStyle w:val="Heading2"/>
      </w:pPr>
      <w:r>
        <w:t>Fasal Keempat: Memelihara Perut</w:t>
      </w:r>
    </w:p>
    <w:p>
      <w:r>
        <w:t>Perut dijadikan untuk menghadam makanan menjadi darah dan unsur yang menguatkan tubuh, supaya manusia hidup, beribadah dan memperoleh zuriat. Ia juga menjadi tempat manusia merasai makanan dan minuman. Syukur terhadap nikmat perut ialah menjaganya daripada makanan haram, syubhah dan berlebihan.</w:t>
      </w:r>
    </w:p>
    <w:p>
      <w:r>
        <w:t>Menjauhi yang haram dan syubhah penting kerana takut azab neraka, menjaga agama dan maruah, serta memastikan ibadah dilakukan dengan tubuh yang bersih zahir dan batin. Makanan haram boleh menjadi penghalang kepada penerimaan amal. Naskhah menegaskan bahawa daging yang tumbuh daripada sumber haram lebih layak dibakar api neraka.</w:t>
      </w:r>
    </w:p>
    <w:p>
      <w:r>
        <w:t>Kekenyangan yang berlebihan membawa banyak keburukan: mengeraskan hati, menggerakkan anggota kepada perkara sia-sia, melemahkan kecerdikan dan kefahaman, mengurangkan ibadah, menyebabkan mengantuk, menimbulkan malas, mendorong kepada syubhah dan haram, memenatkan usaha mencari serta menyediakan makanan, menambahkan kesakitan ketika mati, mengurangkan pahala akhirat dan memanjangkan hisab.</w:t>
      </w:r>
    </w:p>
    <w:p>
      <w:r>
        <w:t>Had makan yang dianjurkan ialah sekadar menegakkan tubuh. Jika perlu lebih, bahagikan ruang: sepertiga untuk makanan, sepertiga untuk minuman dan sepertiga untuk nafas.</w:t>
      </w:r>
    </w:p>
    <w:p>
      <w:pPr>
        <w:pStyle w:val="Heading2"/>
      </w:pPr>
      <w:r>
        <w:t>Fasal Kelima: Memelihara Kemaluan</w:t>
      </w:r>
    </w:p>
    <w:p>
      <w:r>
        <w:t>Anggota ini dijadikan bagi kesinambungan keturunan melalui pernikahan yang sah dan merupakan salah satu nikmat dunia melalui pasangan dan anak. Apabila manusia meninggal, amalnya terputus kecuali tiga: sedekah jariah, ilmu yang dimanfaatkan dan anak soleh yang mendoakannya.</w:t>
      </w:r>
    </w:p>
    <w:p>
      <w:r>
        <w:t>Syukur terhadap nikmat ini ialah memeliharanya daripada zina, perbuatan keji dan segala jalan yang membawa kepadanya. Pemeliharaan kemaluan tidak sempurna tanpa memelihara mata daripada pandangan haram, hati daripada khayalan maksiat, dan perut daripada makanan syubhah serta berlebihan.</w:t>
      </w:r>
    </w:p>
    <w:p>
      <w:r>
        <w:t>Al-Quran memuji orang beriman yang memelihara kehormatan kecuali melalui pasangan yang halal, dan melarang mendekati zina kerana ia perbuatan keji dan jalan yang buruk. Naskhah turut memetik hadis tentang dosa besar: menyekutukan Allah, membunuh anak kerana takut berkongsi rezeki, dan berzina dengan pasangan jiran.</w:t>
      </w:r>
    </w:p>
    <w:p>
      <w:pPr>
        <w:pStyle w:val="Heading2"/>
      </w:pPr>
      <w:r>
        <w:t>Fasal Keenam dan Ketujuh: Memelihara Kedua-dua Tangan dan Kaki</w:t>
      </w:r>
    </w:p>
    <w:p>
      <w:r>
        <w:t>Allah menjadikan tangan dan kaki untuk manfaat akhirat dan dunia. Dengan kaki seseorang menuju masjid, tempat menuntut ilmu, jihad yang sah, haji, umrah, ziarah dan silaturahim. Dengan tangan seseorang mencegah kemungkaran menurut kemampuan dan hukum, menulis ilmu, berjabat dengan orang soleh serta melakukan pelbagai amal kebajikan.</w:t>
      </w:r>
    </w:p>
    <w:p>
      <w:r>
        <w:t>Dari sudut dunia, tangan dan kaki digunakan mencari rezeki, memenuhi keperluan dan menghindari bahaya. Maka syukur terhadap kedua-duanya ialah menggunakannya pada taat dan menjauhkannya daripada maksiat.</w:t>
      </w:r>
    </w:p>
    <w:p>
      <w:r>
        <w:t>Jangan menyakiti orang dengan tangan, jangan mengkhianati amanah, jangan mengambil yang haram, jangan menulis sesuatu yang memudaratkan orang Islam atau ilmu yang diharamkan seperti sihir, dan jangan berjalan ke tempat maksiat atau membantu orang zalim kecuali kerana darurat yang diiktiraf.</w:t>
      </w:r>
    </w:p>
    <w:p>
      <w:r>
        <w:t>Kesimpulannya, ketujuh-tujuh anggota ialah nikmat besar. Arahkan semuanya kepada taat agar termasuk orang yang mengenal dan mensyukuri nikmat. Menggunakan anggota untuk maksiat ialah kufur nikmat dan membawa kesaksian anggota terhadap manusia pada hari kiamat.</w:t>
      </w:r>
    </w:p>
    <w:p>
      <w:pPr>
        <w:pStyle w:val="Heading2"/>
      </w:pPr>
      <w:r>
        <w:t>Penutup Kitab Pertama</w:t>
      </w:r>
    </w:p>
    <w:p>
      <w:r>
        <w:t>Pemeliharaan tujuh anggota daripada kejahatan dan penggunaannya untuk kebajikan tidak akan sempurna tanpa membersihkan rajanya, iaitu hati, daripada sifat tercela seperti riak, takbur, dengki, bakhil dan selainnya. Apabila hati baik, anggota menjadi baik; apabila hati rosak, anggota mudah mengikuti kerosakannya. Allah lebih mengetahui.</w:t>
      </w:r>
    </w:p>
    <w:p>
      <w:r>
        <w:br w:type="page"/>
      </w:r>
    </w:p>
    <w:p>
      <w:pPr>
        <w:pStyle w:val="Heading1"/>
      </w:pPr>
      <w:r>
        <w:t>Bahagian II: Kitab Kedua – Bab Pertama</w:t>
      </w:r>
    </w:p>
    <w:p>
      <w:pPr>
        <w:pStyle w:val="Heading2"/>
      </w:pPr>
      <w:r>
        <w:t>Tentang Sangat Loba terhadap Makanan (Syarah al-Ta‘am)</w:t>
      </w:r>
    </w:p>
    <w:p>
      <w:r>
        <w:t>Sangat loba terhadap makanan ialah salah satu akar kebanyakan kejahatan. Perut menjadi pintu kepada pelbagai keinginan. Daripada kuatnya keinginan makan, timbul pula keinginan seksual; daripada kedua-duanya timbul keinginan kepada harta untuk memenuhi kehendak; daripada harta timbul keinginan kepada kemegahan dan kedudukan; dan daripada usaha mempertahankan harta serta kemegahan lahir riak, takbur, dengki, permusuhan dan keburukan lain. Sebab itu, banyak kerosakan kembali kepada perut.</w:t>
      </w:r>
    </w:p>
    <w:p>
      <w:r>
        <w:t>Naskhah menekankan keutamaan lapar dan dahaga sebagai latihan jiwa. Antara ungkapan yang dibawa ialah bahawa tiada amalan yang lebih disukai Allah daripada lapar dan dahaga, bahawa lapar ialah penghulu amalan, dan bahawa berfikir ialah sebahagian besar ibadah sementara sedikit makan membantu ibadah. Naskhah juga memetik makna hadis bahawa manusia tidak memenuhi bekas yang lebih buruk daripada perutnya; beberapa suap yang menegakkan tulang belakang sudah memadai.</w:t>
      </w:r>
    </w:p>
    <w:p>
      <w:r>
        <w:t>Lapar mempunyai beberapa faedah: melembutkan dan menjernihkan hati; menambah kesediaan melakukan ibadah; membantu kecerdikan kerana kekenyangan melahirkan kebodohan dan kelalaian; melemahkan dorongan maksiat dan nafsu yang memerintah kepada kejahatan; meringankan tubuh untuk tahajud dan ibadah; menghilangkan rasa berat yang menghalang amal; membiasakan diri dengan sedikit harta dunia; dan menimbulkan belas kasihan kepada orang miskin kerana orang yang lapar mengetahui kesusahan mereka. Antara hikmah puasa ialah lahirnya rasa belas kasihan ini.</w:t>
      </w:r>
    </w:p>
    <w:p>
      <w:r>
        <w:t>Sebaliknya, kekenyangan membawa keburukan: hilang keseronokan beribadah, bertambah keinginan nafsu, kurang kasih kepada orang miskin, lemah menghafaz ilmu yang bermanfaat, dan berat menuju masjid. Naskhah memberi perbandingan bahawa orang beriman yang sederhana makan menuju masjid, sedangkan orang yang banyak makan mudah terikat dengan urusan perut.</w:t>
      </w:r>
    </w:p>
    <w:p>
      <w:r>
        <w:t>Jika banyak makan telah menjadi kebiasaan, kurangkanlah secara beransur-ansur. Contohnya, kurangkan sedikit daripada kadar biasa setiap hari sehingga pengurangan itu stabil dalam tempoh tertentu. Dengan cara ini tubuh tidak terlalu terkesan dan sedikit makan menjadi tabiat.</w:t>
      </w:r>
    </w:p>
    <w:p>
      <w:r>
        <w:t>Naskhah menghuraikan tiga peringkat mengurangkan makan. Pertama, darjat orang yang sangat benar, iaitu sekadar kadar yang memelihara tubuh daripada kerosakan dan tidak membinasakan akal atau nyawa. Kedua, mencukupkan sekitar separuh qafiz sehari atau kadar yang memenuhi kira-kira sepertiga perut; naskhah mengaitkan amalan sederhana ini dengan sebahagian sahabat. Ketiga, mencukupkan satu mud sehari. Melebihi kadar ini menghampiri kebiasaan orang kebanyakan dan boleh masuk dalam berlebihan.</w:t>
      </w:r>
    </w:p>
    <w:p>
      <w:r>
        <w:t>Dari sudut masa, lebih tinggi latihan ialah menahan lapar tiga hari atau lebih sebelum makan. Naskhah menyebut contoh Abu Bakar RA yang menahan lapar enam hari. Peringkat pertengahan ialah makan sekali dalam dua hari, manakala peringkat paling rendah ialah makan sekali sehari. Orang yang makan dua kali sehari belum mencapai latihan lapar dan meninggalkan kelebihan yang dikaitkan dengannya.</w:t>
      </w:r>
    </w:p>
    <w:p>
      <w:r>
        <w:t>Kesimpulan bab: Tujuan mengurangkan makan bukan menyeksa diri atau membahayakan kesihatan, tetapi mengawal nafsu supaya hati ringan, fikiran jernih, ibadah mudah dan seseorang lebih peka terhadap orang miskin. Ukuran hendaklah dibuat dengan hikmah, beransur-ansur dan sekadar menjaga kekuatan tubuh untuk menunaikan kewajipan. Allah lebih mengetahui.</w:t>
      </w:r>
    </w:p>
    <w:p>
      <w:pPr>
        <w:pStyle w:val="Heading2"/>
      </w:pPr>
      <w:r>
        <w:t>Catatan Nas dan Rujukan dalam Naskhah</w:t>
      </w:r>
    </w:p>
    <w:p>
      <w:pPr>
        <w:pStyle w:val="ListBullet"/>
      </w:pPr>
      <w:r>
        <w:t>Surah al-Nur 24:30, perintah menundukkan pandangan.</w:t>
      </w:r>
    </w:p>
    <w:p>
      <w:pPr>
        <w:pStyle w:val="ListBullet"/>
      </w:pPr>
      <w:r>
        <w:t>Surah Ghafir 40:19, Allah mengetahui pengkhianatan mata dan apa yang tersembunyi dalam dada.</w:t>
      </w:r>
    </w:p>
    <w:p>
      <w:pPr>
        <w:pStyle w:val="ListBullet"/>
      </w:pPr>
      <w:r>
        <w:t>Surah al-Isra’ 17:36, pendengaran, penglihatan dan hati akan ditanya.</w:t>
      </w:r>
    </w:p>
    <w:p>
      <w:pPr>
        <w:pStyle w:val="ListBullet"/>
      </w:pPr>
      <w:r>
        <w:t>Surah al-Hujurat 49:12, larangan sangkaan buruk, mengintip dan mengumpat.</w:t>
      </w:r>
    </w:p>
    <w:p>
      <w:pPr>
        <w:pStyle w:val="ListBullet"/>
      </w:pPr>
      <w:r>
        <w:t>Surah al-Nisa’ 4:10, ancaman memakan harta anak yatim secara zalim.</w:t>
      </w:r>
    </w:p>
    <w:p>
      <w:pPr>
        <w:pStyle w:val="ListBullet"/>
      </w:pPr>
      <w:r>
        <w:t>Surah al-Kahf 18:46 dan Ali ‘Imran 3:14, harta, anak dan keinginan dunia sebagai perhiasan atau ujian.</w:t>
      </w:r>
    </w:p>
    <w:p>
      <w:pPr>
        <w:pStyle w:val="ListBullet"/>
      </w:pPr>
      <w:r>
        <w:t>Surah al-Mu’minun 23:5-6 dan al-Isra’ 17:32, pemeliharaan kehormatan dan larangan mendekati zina.</w:t>
      </w:r>
    </w:p>
    <w:p>
      <w:pPr>
        <w:pStyle w:val="ListBullet"/>
      </w:pPr>
      <w:r>
        <w:t>Surah al-Furqan 25:68-70, larangan syirik, pembunuhan dan zina serta pintu taubat.</w:t>
      </w:r>
    </w:p>
    <w:p>
      <w:pPr>
        <w:pStyle w:val="ListBullet"/>
      </w:pPr>
      <w:r>
        <w:t>Surah al-Syams 91:9, kejayaan orang yang menyucikan jiwa.</w:t>
      </w:r>
    </w:p>
    <w:p>
      <w:r>
        <w:t>Sumber teks: Penawar Bagi Hati_4755.pdf, khususnya halaman naskhah 7–22 bagi Kitab Pertama dan halaman 25–28 bagi Bab Pertama Kitab Kedua.</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Harith Hakim Khairul Nizam</dc:creator>
  <keywords/>
  <dc:description>generated by python-docx</dc:description>
  <lastModifiedBy>Harith Hakim Khairul Nizam</lastModifiedBy>
  <revision>1</revision>
  <dcterms:created xsi:type="dcterms:W3CDTF">2026-09-25T07:05:57.8405651Z</dcterms:created>
  <dcterms:modified xsi:type="dcterms:W3CDTF">2026-09-25T07:05:57.8405651Z</dcterms:modified>
  <category/>
</coreProperties>
</file>