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9D691E"/>
          <w:sz w:val="26"/>
        </w:rPr>
        <w:t>CHAPTER 2</w:t>
      </w:r>
    </w:p>
    <w:p>
      <w:pPr>
        <w:pStyle w:val="Title"/>
        <w:jc w:val="center"/>
      </w:pPr>
      <w:r>
        <w:t>PURIFICATION OF THE HEART</w:t>
      </w:r>
    </w:p>
    <w:p>
      <w:pPr>
        <w:jc w:val="center"/>
      </w:pPr>
      <w:r>
        <w:rPr>
          <w:i/>
          <w:color w:val="505050"/>
          <w:sz w:val="26"/>
        </w:rPr>
        <w:t>Updated Modern Malay Learning Edition</w:t>
      </w:r>
    </w:p>
    <w:p>
      <w:pPr>
        <w:spacing w:before="360"/>
        <w:jc w:val="center"/>
      </w:pPr>
      <w:r>
        <w:rPr>
          <w:b/>
          <w:sz w:val="24"/>
        </w:rPr>
        <w:t>Based on Kitab Kedua: Penawar Bagi Hati</w:t>
      </w:r>
    </w:p>
    <w:p/>
    <w:p/>
    <w:p/>
    <w:p/>
    <w:p/>
    <w:p/>
    <w:p/>
    <w:p/>
    <w:p>
      <w:pPr>
        <w:jc w:val="center"/>
      </w:pPr>
      <w:r>
        <w:rPr>
          <w:b/>
        </w:rPr>
        <w:t>Prepared as a structured summary for study and revision.</w:t>
        <w:br/>
      </w:r>
      <w:r>
        <w:t>The chapter retains the main concepts, selected Quranic verses and selected hadith, while simplifying the language.</w:t>
      </w:r>
    </w:p>
    <w:p>
      <w:r>
        <w:br w:type="page"/>
      </w:r>
    </w:p>
    <w:p>
      <w:pPr>
        <w:pStyle w:val="Title"/>
      </w:pPr>
      <w:r>
        <w:t>Introduction</w:t>
      </w:r>
    </w:p>
    <w:p>
      <w:r>
        <w:t>The heart is described in two senses: the physical organ and the spiritual centre that knows, understands, intends and receives moral responsibility. This chapter focuses on the spiritual heart. It is the place observed by Allah, the ruler of the limbs, the storehouse of faith and knowledge, and the battlefield between reason, revelation, desire and satanic prompting. When the heart is sound, actions become sound; when it is corrupt, its effects spread to the whole person.</w:t>
      </w: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Core Quranic principle</w:t>
            </w:r>
          </w:p>
          <w:p>
            <w:pPr>
              <w:jc w:val="center"/>
            </w:pPr>
            <w:r>
              <w:rPr>
                <w:rFonts w:ascii="Noto Naskh Arabic" w:hAnsi="Noto Naskh Arabic" w:eastAsia="Noto Naskh Arabic"/>
                <w:sz w:val="30"/>
              </w:rPr>
              <w:t>قَدْ أَفْلَحَ مَنْ زَكَّاهَا</w:t>
            </w:r>
          </w:p>
          <w:p>
            <w:pPr>
              <w:jc w:val="both"/>
            </w:pPr>
            <w:r>
              <w:rPr>
                <w:b/>
              </w:rPr>
              <w:t xml:space="preserve">Maksud ringkas: </w:t>
            </w:r>
            <w:r>
              <w:t>Successful is the one who purifies the soul and the heart.</w:t>
            </w:r>
          </w:p>
          <w:p>
            <w:pPr>
              <w:jc w:val="right"/>
            </w:pPr>
            <w:r>
              <w:rPr>
                <w:i/>
                <w:color w:val="5A5A5A"/>
                <w:sz w:val="16"/>
              </w:rPr>
              <w:t>Surah al-Shams 91:9</w:t>
            </w:r>
          </w:p>
        </w:tc>
      </w:tr>
    </w:tbl>
    <w:p>
      <w:pPr>
        <w:spacing w:after="0"/>
      </w:pP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Core hadith</w:t>
            </w:r>
          </w:p>
          <w:p>
            <w:pPr>
              <w:jc w:val="center"/>
            </w:pPr>
            <w:r>
              <w:rPr>
                <w:rFonts w:ascii="Noto Naskh Arabic" w:hAnsi="Noto Naskh Arabic" w:eastAsia="Noto Naskh Arabic"/>
                <w:sz w:val="30"/>
              </w:rPr>
              <w:t>أَلَا وَإِنَّ فِي الْجَسَدِ مُضْغَةً إِذَا صَلَحَتْ صَلَحَ الْجَسَدُ كُلُّهُ وَإِذَا فَسَدَتْ فَسَدَ الْجَسَدُ كُلُّهُ أَلَا وَهِيَ الْقَلْبُ</w:t>
            </w:r>
          </w:p>
          <w:p>
            <w:pPr>
              <w:jc w:val="both"/>
            </w:pPr>
            <w:r>
              <w:rPr>
                <w:b/>
              </w:rPr>
              <w:t xml:space="preserve">Maksud ringkas: </w:t>
            </w:r>
            <w:r>
              <w:t>In the body is a piece of flesh. If it is sound, the whole body is sound; if it is corrupt, the whole body is corrupt. It is the heart.</w:t>
            </w:r>
          </w:p>
          <w:p>
            <w:pPr>
              <w:jc w:val="right"/>
            </w:pPr>
            <w:r>
              <w:rPr>
                <w:i/>
                <w:color w:val="5A5A5A"/>
                <w:sz w:val="16"/>
              </w:rPr>
              <w:t>Riwayat al-Bukhari dan Muslim</w:t>
            </w:r>
          </w:p>
        </w:tc>
      </w:tr>
    </w:tbl>
    <w:p>
      <w:pPr>
        <w:spacing w:after="0"/>
      </w:pPr>
    </w:p>
    <w:p>
      <w:pPr>
        <w:pStyle w:val="Heading1"/>
      </w:pPr>
      <w:r>
        <w:t>The ten fasal at a glance</w:t>
      </w:r>
    </w:p>
    <w:tbl>
      <w:tblPr>
        <w:tblStyle w:val="TableGrid"/>
        <w:tblW w:type="auto" w:w="0"/>
        <w:jc w:val="center"/>
        <w:tblLook w:firstColumn="1" w:firstRow="1" w:lastColumn="0" w:lastRow="0" w:noHBand="0" w:noVBand="1" w:val="04A0"/>
      </w:tblPr>
      <w:tblGrid>
        <w:gridCol w:w="4997"/>
        <w:gridCol w:w="4997"/>
      </w:tblGrid>
      <w:tr>
        <w:tc>
          <w:tcPr>
            <w:tcW w:type="dxa" w:w="4997"/>
            <w:shd w:fill="195C4A"/>
            <w:tcMar>
              <w:top w:w="70" w:type="dxa"/>
              <w:start w:w="100" w:type="dxa"/>
              <w:bottom w:w="70" w:type="dxa"/>
              <w:end w:w="100" w:type="dxa"/>
            </w:tcMar>
          </w:tcPr>
          <w:p>
            <w:r>
              <w:rPr>
                <w:b/>
                <w:color w:val="FFFFFF"/>
              </w:rPr>
              <w:t>Fasal</w:t>
            </w:r>
          </w:p>
        </w:tc>
        <w:tc>
          <w:tcPr>
            <w:tcW w:type="dxa" w:w="4997"/>
            <w:shd w:fill="195C4A"/>
            <w:tcMar>
              <w:top w:w="70" w:type="dxa"/>
              <w:start w:w="100" w:type="dxa"/>
              <w:bottom w:w="70" w:type="dxa"/>
              <w:end w:w="100" w:type="dxa"/>
            </w:tcMar>
          </w:tcPr>
          <w:p>
            <w:r>
              <w:rPr>
                <w:b/>
                <w:color w:val="FFFFFF"/>
              </w:rPr>
              <w:t>Core illness</w:t>
            </w:r>
          </w:p>
        </w:tc>
      </w:tr>
      <w:tr>
        <w:tc>
          <w:tcPr>
            <w:tcW w:type="dxa" w:w="4997"/>
            <w:vAlign w:val="center"/>
            <w:tcMar>
              <w:top w:w="70" w:type="dxa"/>
              <w:start w:w="100" w:type="dxa"/>
              <w:bottom w:w="70" w:type="dxa"/>
              <w:end w:w="100" w:type="dxa"/>
            </w:tcMar>
          </w:tcPr>
          <w:p>
            <w:r>
              <w:t>1</w:t>
            </w:r>
          </w:p>
        </w:tc>
        <w:tc>
          <w:tcPr>
            <w:tcW w:type="dxa" w:w="4997"/>
            <w:tcMar>
              <w:top w:w="70" w:type="dxa"/>
              <w:start w:w="100" w:type="dxa"/>
              <w:bottom w:w="70" w:type="dxa"/>
              <w:end w:w="100" w:type="dxa"/>
            </w:tcMar>
          </w:tcPr>
          <w:p>
            <w:r>
              <w:t>Rakus terhadap makanan</w:t>
            </w:r>
          </w:p>
        </w:tc>
      </w:tr>
      <w:tr>
        <w:tc>
          <w:tcPr>
            <w:tcW w:type="dxa" w:w="4997"/>
            <w:vAlign w:val="center"/>
            <w:tcMar>
              <w:top w:w="70" w:type="dxa"/>
              <w:start w:w="100" w:type="dxa"/>
              <w:bottom w:w="70" w:type="dxa"/>
              <w:end w:w="100" w:type="dxa"/>
            </w:tcMar>
          </w:tcPr>
          <w:p>
            <w:r>
              <w:t>2</w:t>
            </w:r>
          </w:p>
        </w:tc>
        <w:tc>
          <w:tcPr>
            <w:tcW w:type="dxa" w:w="4997"/>
            <w:tcMar>
              <w:top w:w="70" w:type="dxa"/>
              <w:start w:w="100" w:type="dxa"/>
              <w:bottom w:w="70" w:type="dxa"/>
              <w:end w:w="100" w:type="dxa"/>
            </w:tcMar>
          </w:tcPr>
          <w:p>
            <w:r>
              <w:t>Banyak berkata-kata</w:t>
            </w:r>
          </w:p>
        </w:tc>
      </w:tr>
      <w:tr>
        <w:tc>
          <w:tcPr>
            <w:tcW w:type="dxa" w:w="4997"/>
            <w:vAlign w:val="center"/>
            <w:tcMar>
              <w:top w:w="70" w:type="dxa"/>
              <w:start w:w="100" w:type="dxa"/>
              <w:bottom w:w="70" w:type="dxa"/>
              <w:end w:w="100" w:type="dxa"/>
            </w:tcMar>
          </w:tcPr>
          <w:p>
            <w:r>
              <w:t>3</w:t>
            </w:r>
          </w:p>
        </w:tc>
        <w:tc>
          <w:tcPr>
            <w:tcW w:type="dxa" w:w="4997"/>
            <w:tcMar>
              <w:top w:w="70" w:type="dxa"/>
              <w:start w:w="100" w:type="dxa"/>
              <w:bottom w:w="70" w:type="dxa"/>
              <w:end w:w="100" w:type="dxa"/>
            </w:tcMar>
          </w:tcPr>
          <w:p>
            <w:r>
              <w:t>Marah</w:t>
            </w:r>
          </w:p>
        </w:tc>
      </w:tr>
      <w:tr>
        <w:tc>
          <w:tcPr>
            <w:tcW w:type="dxa" w:w="4997"/>
            <w:vAlign w:val="center"/>
            <w:tcMar>
              <w:top w:w="70" w:type="dxa"/>
              <w:start w:w="100" w:type="dxa"/>
              <w:bottom w:w="70" w:type="dxa"/>
              <w:end w:w="100" w:type="dxa"/>
            </w:tcMar>
          </w:tcPr>
          <w:p>
            <w:r>
              <w:t>4</w:t>
            </w:r>
          </w:p>
        </w:tc>
        <w:tc>
          <w:tcPr>
            <w:tcW w:type="dxa" w:w="4997"/>
            <w:tcMar>
              <w:top w:w="70" w:type="dxa"/>
              <w:start w:w="100" w:type="dxa"/>
              <w:bottom w:w="70" w:type="dxa"/>
              <w:end w:w="100" w:type="dxa"/>
            </w:tcMar>
          </w:tcPr>
          <w:p>
            <w:r>
              <w:t>Dengki</w:t>
            </w:r>
          </w:p>
        </w:tc>
      </w:tr>
      <w:tr>
        <w:tc>
          <w:tcPr>
            <w:tcW w:type="dxa" w:w="4997"/>
            <w:vAlign w:val="center"/>
            <w:tcMar>
              <w:top w:w="70" w:type="dxa"/>
              <w:start w:w="100" w:type="dxa"/>
              <w:bottom w:w="70" w:type="dxa"/>
              <w:end w:w="100" w:type="dxa"/>
            </w:tcMar>
          </w:tcPr>
          <w:p>
            <w:r>
              <w:t>5</w:t>
            </w:r>
          </w:p>
        </w:tc>
        <w:tc>
          <w:tcPr>
            <w:tcW w:type="dxa" w:w="4997"/>
            <w:tcMar>
              <w:top w:w="70" w:type="dxa"/>
              <w:start w:w="100" w:type="dxa"/>
              <w:bottom w:w="70" w:type="dxa"/>
              <w:end w:w="100" w:type="dxa"/>
            </w:tcMar>
          </w:tcPr>
          <w:p>
            <w:r>
              <w:t>Kikir dan cinta harta</w:t>
            </w:r>
          </w:p>
        </w:tc>
      </w:tr>
      <w:tr>
        <w:tc>
          <w:tcPr>
            <w:tcW w:type="dxa" w:w="4997"/>
            <w:vAlign w:val="center"/>
            <w:tcMar>
              <w:top w:w="70" w:type="dxa"/>
              <w:start w:w="100" w:type="dxa"/>
              <w:bottom w:w="70" w:type="dxa"/>
              <w:end w:w="100" w:type="dxa"/>
            </w:tcMar>
          </w:tcPr>
          <w:p>
            <w:r>
              <w:t>6</w:t>
            </w:r>
          </w:p>
        </w:tc>
        <w:tc>
          <w:tcPr>
            <w:tcW w:type="dxa" w:w="4997"/>
            <w:tcMar>
              <w:top w:w="70" w:type="dxa"/>
              <w:start w:w="100" w:type="dxa"/>
              <w:bottom w:w="70" w:type="dxa"/>
              <w:end w:w="100" w:type="dxa"/>
            </w:tcMar>
          </w:tcPr>
          <w:p>
            <w:r>
              <w:t>Cinta kemasyhuran dan pengaruh</w:t>
            </w:r>
          </w:p>
        </w:tc>
      </w:tr>
      <w:tr>
        <w:tc>
          <w:tcPr>
            <w:tcW w:type="dxa" w:w="4997"/>
            <w:vAlign w:val="center"/>
            <w:tcMar>
              <w:top w:w="70" w:type="dxa"/>
              <w:start w:w="100" w:type="dxa"/>
              <w:bottom w:w="70" w:type="dxa"/>
              <w:end w:w="100" w:type="dxa"/>
            </w:tcMar>
          </w:tcPr>
          <w:p>
            <w:r>
              <w:t>7</w:t>
            </w:r>
          </w:p>
        </w:tc>
        <w:tc>
          <w:tcPr>
            <w:tcW w:type="dxa" w:w="4997"/>
            <w:tcMar>
              <w:top w:w="70" w:type="dxa"/>
              <w:start w:w="100" w:type="dxa"/>
              <w:bottom w:w="70" w:type="dxa"/>
              <w:end w:w="100" w:type="dxa"/>
            </w:tcMar>
          </w:tcPr>
          <w:p>
            <w:r>
              <w:t>Cinta dunia</w:t>
            </w:r>
          </w:p>
        </w:tc>
      </w:tr>
      <w:tr>
        <w:tc>
          <w:tcPr>
            <w:tcW w:type="dxa" w:w="4997"/>
            <w:vAlign w:val="center"/>
            <w:tcMar>
              <w:top w:w="70" w:type="dxa"/>
              <w:start w:w="100" w:type="dxa"/>
              <w:bottom w:w="70" w:type="dxa"/>
              <w:end w:w="100" w:type="dxa"/>
            </w:tcMar>
          </w:tcPr>
          <w:p>
            <w:r>
              <w:t>8</w:t>
            </w:r>
          </w:p>
        </w:tc>
        <w:tc>
          <w:tcPr>
            <w:tcW w:type="dxa" w:w="4997"/>
            <w:tcMar>
              <w:top w:w="70" w:type="dxa"/>
              <w:start w:w="100" w:type="dxa"/>
              <w:bottom w:w="70" w:type="dxa"/>
              <w:end w:w="100" w:type="dxa"/>
            </w:tcMar>
          </w:tcPr>
          <w:p>
            <w:r>
              <w:t>Takbur</w:t>
            </w:r>
          </w:p>
        </w:tc>
      </w:tr>
      <w:tr>
        <w:tc>
          <w:tcPr>
            <w:tcW w:type="dxa" w:w="4997"/>
            <w:vAlign w:val="center"/>
            <w:tcMar>
              <w:top w:w="70" w:type="dxa"/>
              <w:start w:w="100" w:type="dxa"/>
              <w:bottom w:w="70" w:type="dxa"/>
              <w:end w:w="100" w:type="dxa"/>
            </w:tcMar>
          </w:tcPr>
          <w:p>
            <w:r>
              <w:t>9</w:t>
            </w:r>
          </w:p>
        </w:tc>
        <w:tc>
          <w:tcPr>
            <w:tcW w:type="dxa" w:w="4997"/>
            <w:tcMar>
              <w:top w:w="70" w:type="dxa"/>
              <w:start w:w="100" w:type="dxa"/>
              <w:bottom w:w="70" w:type="dxa"/>
              <w:end w:w="100" w:type="dxa"/>
            </w:tcMar>
          </w:tcPr>
          <w:p>
            <w:r>
              <w:t>Ujub</w:t>
            </w:r>
          </w:p>
        </w:tc>
      </w:tr>
      <w:tr>
        <w:tc>
          <w:tcPr>
            <w:tcW w:type="dxa" w:w="4997"/>
            <w:vAlign w:val="center"/>
            <w:tcMar>
              <w:top w:w="70" w:type="dxa"/>
              <w:start w:w="100" w:type="dxa"/>
              <w:bottom w:w="70" w:type="dxa"/>
              <w:end w:w="100" w:type="dxa"/>
            </w:tcMar>
          </w:tcPr>
          <w:p>
            <w:r>
              <w:t>10</w:t>
            </w:r>
          </w:p>
        </w:tc>
        <w:tc>
          <w:tcPr>
            <w:tcW w:type="dxa" w:w="4997"/>
            <w:tcMar>
              <w:top w:w="70" w:type="dxa"/>
              <w:start w:w="100" w:type="dxa"/>
              <w:bottom w:w="70" w:type="dxa"/>
              <w:end w:w="100" w:type="dxa"/>
            </w:tcMar>
          </w:tcPr>
          <w:p>
            <w:r>
              <w:t>Riyak</w:t>
            </w:r>
          </w:p>
        </w:tc>
      </w:tr>
    </w:tbl>
    <w:p>
      <w:r>
        <w:br w:type="page"/>
      </w:r>
    </w:p>
    <w:p>
      <w:pPr>
        <w:pStyle w:val="Heading1"/>
      </w:pPr>
      <w:r>
        <w:t>Fasal 1: Rakus terhadap makanan</w:t>
      </w:r>
    </w:p>
    <w:p>
      <w:pPr>
        <w:pStyle w:val="BodyText"/>
      </w:pPr>
      <w:r>
        <w:t>Kerakusan terhadap makanan ialah kecenderungan memenuhi perut secara berlebihan sehingga makan berubah daripada keperluan kepada penguasaan nafsu. Teks asal menempatkannya sebagai salah satu akar penyakit hati kerana perut yang tidak dikawal boleh membuka jalan kepada syahwat, kemalasan dan kecintaan melampau kepada dunia.</w:t>
      </w:r>
    </w:p>
    <w:p>
      <w:pPr>
        <w:pStyle w:val="Heading2"/>
      </w:pPr>
      <w:r>
        <w:t>Mengapa ia berbahaya</w:t>
      </w:r>
    </w:p>
    <w:p>
      <w:pPr>
        <w:pStyle w:val="ListBullet"/>
        <w:spacing w:after="60"/>
      </w:pPr>
      <w:r>
        <w:t>Melemahkan kecergasan untuk beribadah dan menuntut ilmu.</w:t>
      </w:r>
    </w:p>
    <w:p>
      <w:pPr>
        <w:pStyle w:val="ListBullet"/>
        <w:spacing w:after="60"/>
      </w:pPr>
      <w:r>
        <w:t>Menguatkan nafsu serta memudahkan dorongan kepada maksiat.</w:t>
      </w:r>
    </w:p>
    <w:p>
      <w:pPr>
        <w:pStyle w:val="ListBullet"/>
        <w:spacing w:after="60"/>
      </w:pPr>
      <w:r>
        <w:t>Mendorong keinginan kepada harta dan kedudukan bagi memenuhi gaya hidup yang berlebihan.</w:t>
      </w:r>
    </w:p>
    <w:p>
      <w:pPr>
        <w:pStyle w:val="Heading2"/>
      </w:pPr>
      <w:r>
        <w:t>Punca yang perlu diawasi</w:t>
      </w:r>
    </w:p>
    <w:p>
      <w:pPr>
        <w:pStyle w:val="ListBullet"/>
        <w:spacing w:after="60"/>
      </w:pPr>
      <w:r>
        <w:t>Makan tanpa membezakan keperluan dengan keinginan.</w:t>
      </w:r>
    </w:p>
    <w:p>
      <w:pPr>
        <w:pStyle w:val="ListBullet"/>
        <w:spacing w:after="60"/>
      </w:pPr>
      <w:r>
        <w:t>Menjadikan kenyang sebagai matlamat, bukan kekuatan untuk taat.</w:t>
      </w:r>
    </w:p>
    <w:p>
      <w:pPr>
        <w:pStyle w:val="ListBullet"/>
        <w:spacing w:after="60"/>
      </w:pPr>
      <w:r>
        <w:t>Kebiasaan mengambil hidangan melebihi kadar yang diperlukan.</w:t>
      </w:r>
    </w:p>
    <w:p>
      <w:pPr>
        <w:pStyle w:val="Heading2"/>
      </w:pPr>
      <w:r>
        <w:t>Rawatan dan latihan praktikal</w:t>
      </w:r>
    </w:p>
    <w:p>
      <w:pPr>
        <w:pStyle w:val="ListBullet"/>
        <w:spacing w:after="60"/>
      </w:pPr>
      <w:r>
        <w:t>Kurangkan makanan secara beransur-ansur, bukan secara mendadak.</w:t>
      </w:r>
    </w:p>
    <w:p>
      <w:pPr>
        <w:pStyle w:val="ListBullet"/>
        <w:spacing w:after="60"/>
      </w:pPr>
      <w:r>
        <w:t>Berhenti sebelum terlalu kenyang dan biasakan bahagian yang sederhana.</w:t>
      </w:r>
    </w:p>
    <w:p>
      <w:pPr>
        <w:pStyle w:val="ListBullet"/>
        <w:spacing w:after="60"/>
      </w:pPr>
      <w:r>
        <w:t>Niatkan makanan sebagai bekal kesihatan, ibadah dan pelayanan kepada orang lain.</w:t>
      </w: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Ayat al-Quran</w:t>
            </w:r>
          </w:p>
          <w:p>
            <w:pPr>
              <w:jc w:val="center"/>
            </w:pPr>
            <w:r>
              <w:rPr>
                <w:rFonts w:ascii="Noto Naskh Arabic" w:hAnsi="Noto Naskh Arabic" w:eastAsia="Noto Naskh Arabic"/>
                <w:sz w:val="30"/>
              </w:rPr>
              <w:t>وَكُلُوا وَاشْرَبُوا وَلَا تُسْرِفُوا</w:t>
            </w:r>
          </w:p>
          <w:p>
            <w:pPr>
              <w:jc w:val="both"/>
            </w:pPr>
            <w:r>
              <w:rPr>
                <w:b/>
              </w:rPr>
              <w:t xml:space="preserve">Maksud ringkas: </w:t>
            </w:r>
            <w:r>
              <w:t>Makan dan minumlah, tetapi jangan berlebih-lebihan.</w:t>
            </w:r>
          </w:p>
          <w:p>
            <w:pPr>
              <w:jc w:val="right"/>
            </w:pPr>
            <w:r>
              <w:rPr>
                <w:i/>
                <w:color w:val="5A5A5A"/>
                <w:sz w:val="16"/>
              </w:rPr>
              <w:t>Surah al-A‘raf 7:31</w:t>
            </w:r>
          </w:p>
        </w:tc>
      </w:tr>
    </w:tbl>
    <w:p>
      <w:pPr>
        <w:spacing w:after="0"/>
      </w:pP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Hadis pilihan</w:t>
            </w:r>
          </w:p>
          <w:p>
            <w:pPr>
              <w:jc w:val="center"/>
            </w:pPr>
            <w:r>
              <w:rPr>
                <w:rFonts w:ascii="Noto Naskh Arabic" w:hAnsi="Noto Naskh Arabic" w:eastAsia="Noto Naskh Arabic"/>
                <w:sz w:val="30"/>
              </w:rPr>
              <w:t>مَا مَلَأَ آدَمِيٌّ وِعَاءً شَرًّا مِنْ بَطْنٍ</w:t>
            </w:r>
          </w:p>
          <w:p>
            <w:pPr>
              <w:jc w:val="both"/>
            </w:pPr>
            <w:r>
              <w:rPr>
                <w:b/>
              </w:rPr>
              <w:t xml:space="preserve">Maksud ringkas: </w:t>
            </w:r>
            <w:r>
              <w:t>Tidak ada bekas yang diisi manusia lebih buruk daripada perutnya. Cukuplah beberapa suap yang menegakkan tubuh.</w:t>
            </w:r>
          </w:p>
          <w:p>
            <w:pPr>
              <w:jc w:val="right"/>
            </w:pPr>
            <w:r>
              <w:rPr>
                <w:i/>
                <w:color w:val="5A5A5A"/>
                <w:sz w:val="16"/>
              </w:rPr>
              <w:t>Riwayat al-Tirmizi; makna selari dengan petikan rujukan</w:t>
            </w:r>
          </w:p>
        </w:tc>
      </w:tr>
    </w:tbl>
    <w:p>
      <w:pPr>
        <w:spacing w:after="0"/>
      </w:pPr>
    </w:p>
    <w:tbl>
      <w:tblPr>
        <w:tblW w:type="auto" w:w="0"/>
        <w:jc w:val="center"/>
        <w:tblLook w:firstColumn="1" w:firstRow="1" w:lastColumn="0" w:lastRow="0" w:noHBand="0" w:noVBand="1" w:val="04A0"/>
      </w:tblPr>
      <w:tblGrid>
        <w:gridCol w:w="9994"/>
      </w:tblGrid>
      <w:tr>
        <w:tc>
          <w:tcPr>
            <w:tcW w:type="dxa" w:w="9994"/>
            <w:shd w:fill="FFF7E6"/>
            <w:tcMar>
              <w:top w:w="120" w:type="dxa"/>
              <w:start w:w="160" w:type="dxa"/>
              <w:bottom w:w="120" w:type="dxa"/>
              <w:end w:w="160" w:type="dxa"/>
            </w:tcMar>
          </w:tcPr>
          <w:p>
            <w:r>
              <w:rPr>
                <w:b/>
                <w:color w:val="8D5A0F"/>
              </w:rPr>
              <w:t xml:space="preserve">Muhasabah: </w:t>
            </w:r>
            <w:r>
              <w:t>Adakah corak makan saya membantu ketaatan, atau menyebabkan berat untuk beribadah?</w:t>
            </w:r>
          </w:p>
        </w:tc>
      </w:tr>
    </w:tbl>
    <w:p/>
    <w:p>
      <w:pPr>
        <w:pStyle w:val="Heading1"/>
      </w:pPr>
      <w:r>
        <w:t>Fasal 2: Banyak berkata-kata</w:t>
      </w:r>
    </w:p>
    <w:p>
      <w:pPr>
        <w:pStyle w:val="BodyText"/>
      </w:pPr>
      <w:r>
        <w:t>Banyak berkata-kata merujuk kepada percakapan yang melampaui manfaat. Lidah yang tidak dijaga mudah membawa kepada dusta, mengumpat, membuka aib, pertengkaran, pujian melampau dan ucapan yang mengeraskan hati.</w:t>
      </w:r>
    </w:p>
    <w:p>
      <w:pPr>
        <w:pStyle w:val="Heading2"/>
      </w:pPr>
      <w:r>
        <w:t>Mengapa ia berbahaya</w:t>
      </w:r>
    </w:p>
    <w:p>
      <w:pPr>
        <w:pStyle w:val="ListBullet"/>
        <w:spacing w:after="60"/>
      </w:pPr>
      <w:r>
        <w:t>Kesalahan lidah berlaku pantas tetapi kesannya panjang.</w:t>
      </w:r>
    </w:p>
    <w:p>
      <w:pPr>
        <w:pStyle w:val="ListBullet"/>
        <w:spacing w:after="60"/>
      </w:pPr>
      <w:r>
        <w:t>Ucapan berlebihan mengurangkan kewibawaan dan menutup ruang fikir serta zikir.</w:t>
      </w:r>
    </w:p>
    <w:p>
      <w:pPr>
        <w:pStyle w:val="ListBullet"/>
        <w:spacing w:after="60"/>
      </w:pPr>
      <w:r>
        <w:t>Pujian yang tidak terkawal boleh melahirkan ujub pada orang yang dipuji dan riak pada orang yang berbicara.</w:t>
      </w:r>
    </w:p>
    <w:p>
      <w:pPr>
        <w:pStyle w:val="Heading2"/>
      </w:pPr>
      <w:r>
        <w:t>Punca yang perlu diawasi</w:t>
      </w:r>
    </w:p>
    <w:p>
      <w:pPr>
        <w:pStyle w:val="ListBullet"/>
        <w:spacing w:after="60"/>
      </w:pPr>
      <w:r>
        <w:t>Keinginan untuk sentiasa menguasai perbualan.</w:t>
      </w:r>
    </w:p>
    <w:p>
      <w:pPr>
        <w:pStyle w:val="ListBullet"/>
        <w:spacing w:after="60"/>
      </w:pPr>
      <w:r>
        <w:t>Bercakap tanpa menyemak manfaat, kebenaran dan kesan.</w:t>
      </w:r>
    </w:p>
    <w:p>
      <w:pPr>
        <w:pStyle w:val="ListBullet"/>
        <w:spacing w:after="60"/>
      </w:pPr>
      <w:r>
        <w:t>Mencari perhatian atau pujian melalui kata-kata.</w:t>
      </w:r>
    </w:p>
    <w:p>
      <w:pPr>
        <w:pStyle w:val="Heading2"/>
      </w:pPr>
      <w:r>
        <w:t>Rawatan dan latihan praktikal</w:t>
      </w:r>
    </w:p>
    <w:p>
      <w:pPr>
        <w:pStyle w:val="ListBullet"/>
        <w:spacing w:after="60"/>
      </w:pPr>
      <w:r>
        <w:t>Gunakan tiga tapisan: benar, perlu dan baik.</w:t>
      </w:r>
    </w:p>
    <w:p>
      <w:pPr>
        <w:pStyle w:val="ListBullet"/>
        <w:spacing w:after="60"/>
      </w:pPr>
      <w:r>
        <w:t>Biasakan diam ketika tiada manfaat yang jelas.</w:t>
      </w:r>
    </w:p>
    <w:p>
      <w:pPr>
        <w:pStyle w:val="ListBullet"/>
        <w:spacing w:after="60"/>
      </w:pPr>
      <w:r>
        <w:t>Jika memuji, lakukan secara sederhana dan sertakan doa agar kebaikan itu dipelihara.</w:t>
      </w: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Ayat al-Quran</w:t>
            </w:r>
          </w:p>
          <w:p>
            <w:pPr>
              <w:jc w:val="center"/>
            </w:pPr>
            <w:r>
              <w:rPr>
                <w:rFonts w:ascii="Noto Naskh Arabic" w:hAnsi="Noto Naskh Arabic" w:eastAsia="Noto Naskh Arabic"/>
                <w:sz w:val="30"/>
              </w:rPr>
              <w:t>مَا يَلْفِظُ مِنْ قَوْلٍ إِلَّا لَدَيْهِ رَقِيبٌ عَتِيدٌ</w:t>
            </w:r>
          </w:p>
          <w:p>
            <w:pPr>
              <w:jc w:val="both"/>
            </w:pPr>
            <w:r>
              <w:rPr>
                <w:b/>
              </w:rPr>
              <w:t xml:space="preserve">Maksud ringkas: </w:t>
            </w:r>
            <w:r>
              <w:t>Setiap perkataan yang dilafazkan dicatat oleh malaikat yang sentiasa bersedia.</w:t>
            </w:r>
          </w:p>
          <w:p>
            <w:pPr>
              <w:jc w:val="right"/>
            </w:pPr>
            <w:r>
              <w:rPr>
                <w:i/>
                <w:color w:val="5A5A5A"/>
                <w:sz w:val="16"/>
              </w:rPr>
              <w:t>Surah Qaf 50:18</w:t>
            </w:r>
          </w:p>
        </w:tc>
      </w:tr>
    </w:tbl>
    <w:p>
      <w:pPr>
        <w:spacing w:after="0"/>
      </w:pP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Hadis pilihan</w:t>
            </w:r>
          </w:p>
          <w:p>
            <w:pPr>
              <w:jc w:val="center"/>
            </w:pPr>
            <w:r>
              <w:rPr>
                <w:rFonts w:ascii="Noto Naskh Arabic" w:hAnsi="Noto Naskh Arabic" w:eastAsia="Noto Naskh Arabic"/>
                <w:sz w:val="30"/>
              </w:rPr>
              <w:t>مَنْ كَانَ يُؤْمِنُ بِاللَّهِ وَالْيَوْمِ الْآخِرِ فَلْيَقُلْ خَيْرًا أَوْ لِيَصْمُتْ</w:t>
            </w:r>
          </w:p>
          <w:p>
            <w:pPr>
              <w:jc w:val="both"/>
            </w:pPr>
            <w:r>
              <w:rPr>
                <w:b/>
              </w:rPr>
              <w:t xml:space="preserve">Maksud ringkas: </w:t>
            </w:r>
            <w:r>
              <w:t>Sesiapa yang beriman kepada Allah dan hari akhirat hendaklah berkata baik atau diam.</w:t>
            </w:r>
          </w:p>
          <w:p>
            <w:pPr>
              <w:jc w:val="right"/>
            </w:pPr>
            <w:r>
              <w:rPr>
                <w:i/>
                <w:color w:val="5A5A5A"/>
                <w:sz w:val="16"/>
              </w:rPr>
              <w:t>Riwayat al-Bukhari dan Muslim</w:t>
            </w:r>
          </w:p>
        </w:tc>
      </w:tr>
    </w:tbl>
    <w:p>
      <w:pPr>
        <w:spacing w:after="0"/>
      </w:pPr>
    </w:p>
    <w:tbl>
      <w:tblPr>
        <w:tblW w:type="auto" w:w="0"/>
        <w:jc w:val="center"/>
        <w:tblLook w:firstColumn="1" w:firstRow="1" w:lastColumn="0" w:lastRow="0" w:noHBand="0" w:noVBand="1" w:val="04A0"/>
      </w:tblPr>
      <w:tblGrid>
        <w:gridCol w:w="9994"/>
      </w:tblGrid>
      <w:tr>
        <w:tc>
          <w:tcPr>
            <w:tcW w:type="dxa" w:w="9994"/>
            <w:shd w:fill="FFF7E6"/>
            <w:tcMar>
              <w:top w:w="120" w:type="dxa"/>
              <w:start w:w="160" w:type="dxa"/>
              <w:bottom w:w="120" w:type="dxa"/>
              <w:end w:w="160" w:type="dxa"/>
            </w:tcMar>
          </w:tcPr>
          <w:p>
            <w:r>
              <w:rPr>
                <w:b/>
                <w:color w:val="8D5A0F"/>
              </w:rPr>
              <w:t xml:space="preserve">Muhasabah: </w:t>
            </w:r>
            <w:r>
              <w:t>Berapa banyak ucapan saya hari ini benar-benar memberi manfaat?</w:t>
            </w:r>
          </w:p>
        </w:tc>
      </w:tr>
    </w:tbl>
    <w:p/>
    <w:p>
      <w:r>
        <w:br w:type="page"/>
      </w:r>
    </w:p>
    <w:p>
      <w:pPr>
        <w:pStyle w:val="Heading1"/>
      </w:pPr>
      <w:r>
        <w:t>Fasal 3: Marah</w:t>
      </w:r>
    </w:p>
    <w:p>
      <w:pPr>
        <w:pStyle w:val="BodyText"/>
      </w:pPr>
      <w:r>
        <w:t>Marah ialah tenaga dalam diri yang boleh digunakan untuk mempertahankan kebenaran, tetapi menjadi penyakit apabila nafsu menguasainya. Marah yang tidak dipimpin akal dan syarak boleh melahirkan makian, pukulan, dendam dan permusuhan.</w:t>
      </w:r>
    </w:p>
    <w:p>
      <w:pPr>
        <w:pStyle w:val="Heading2"/>
      </w:pPr>
      <w:r>
        <w:t>Mengapa ia berbahaya</w:t>
      </w:r>
    </w:p>
    <w:p>
      <w:pPr>
        <w:pStyle w:val="ListBullet"/>
        <w:spacing w:after="60"/>
      </w:pPr>
      <w:r>
        <w:t>Mendorong tindakan terburu-buru serta penyesalan.</w:t>
      </w:r>
    </w:p>
    <w:p>
      <w:pPr>
        <w:pStyle w:val="ListBullet"/>
        <w:spacing w:after="60"/>
      </w:pPr>
      <w:r>
        <w:t>Menyuburkan dendam, dengki dan keinginan melihat orang lain ditimpa kesusahan.</w:t>
      </w:r>
    </w:p>
    <w:p>
      <w:pPr>
        <w:pStyle w:val="ListBullet"/>
        <w:spacing w:after="60"/>
      </w:pPr>
      <w:r>
        <w:t>Mengganggu keputusan yang adil dan hubungan sesama manusia.</w:t>
      </w:r>
    </w:p>
    <w:p>
      <w:pPr>
        <w:pStyle w:val="Heading2"/>
      </w:pPr>
      <w:r>
        <w:t>Punca yang perlu diawasi</w:t>
      </w:r>
    </w:p>
    <w:p>
      <w:pPr>
        <w:pStyle w:val="ListBullet"/>
        <w:spacing w:after="60"/>
      </w:pPr>
      <w:r>
        <w:t>Kesombongan dan rasa diri tidak boleh dicabar.</w:t>
      </w:r>
    </w:p>
    <w:p>
      <w:pPr>
        <w:pStyle w:val="ListBullet"/>
        <w:spacing w:after="60"/>
      </w:pPr>
      <w:r>
        <w:t>Kegagalan menerima bahawa sesuatu berlaku dengan izin dan ketentuan Allah.</w:t>
      </w:r>
    </w:p>
    <w:p>
      <w:pPr>
        <w:pStyle w:val="ListBullet"/>
        <w:spacing w:after="60"/>
      </w:pPr>
      <w:r>
        <w:t>Kebiasaan bertindak sebelum bertenang.</w:t>
      </w:r>
    </w:p>
    <w:p>
      <w:pPr>
        <w:pStyle w:val="Heading2"/>
      </w:pPr>
      <w:r>
        <w:t>Rawatan dan latihan praktikal</w:t>
      </w:r>
    </w:p>
    <w:p>
      <w:pPr>
        <w:pStyle w:val="ListBullet"/>
        <w:spacing w:after="60"/>
      </w:pPr>
      <w:r>
        <w:t>Baca isti‘azah dan berhenti bercakap ketika emosi memuncak.</w:t>
      </w:r>
    </w:p>
    <w:p>
      <w:pPr>
        <w:pStyle w:val="ListBullet"/>
        <w:spacing w:after="60"/>
      </w:pPr>
      <w:r>
        <w:t>Ubah posisi: berdiri kepada duduk, duduk kepada berbaring.</w:t>
      </w:r>
    </w:p>
    <w:p>
      <w:pPr>
        <w:pStyle w:val="ListBullet"/>
        <w:spacing w:after="60"/>
      </w:pPr>
      <w:r>
        <w:t>Ambil wuduk dan latih pemaafan serta kelembutan secara konsisten.</w:t>
      </w: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Ayat al-Quran</w:t>
            </w:r>
          </w:p>
          <w:p>
            <w:pPr>
              <w:jc w:val="center"/>
            </w:pPr>
            <w:r>
              <w:rPr>
                <w:rFonts w:ascii="Noto Naskh Arabic" w:hAnsi="Noto Naskh Arabic" w:eastAsia="Noto Naskh Arabic"/>
                <w:sz w:val="30"/>
              </w:rPr>
              <w:t>وَالْكَاظِمِينَ الْغَيْظَ وَالْعَافِينَ عَنِ النَّاسِ</w:t>
            </w:r>
          </w:p>
          <w:p>
            <w:pPr>
              <w:jc w:val="both"/>
            </w:pPr>
            <w:r>
              <w:rPr>
                <w:b/>
              </w:rPr>
              <w:t xml:space="preserve">Maksud ringkas: </w:t>
            </w:r>
            <w:r>
              <w:t>Orang bertakwa menahan marah dan memaafkan manusia.</w:t>
            </w:r>
          </w:p>
          <w:p>
            <w:pPr>
              <w:jc w:val="right"/>
            </w:pPr>
            <w:r>
              <w:rPr>
                <w:i/>
                <w:color w:val="5A5A5A"/>
                <w:sz w:val="16"/>
              </w:rPr>
              <w:t>Surah Ali ‘Imran 3:134</w:t>
            </w:r>
          </w:p>
        </w:tc>
      </w:tr>
    </w:tbl>
    <w:p>
      <w:pPr>
        <w:spacing w:after="0"/>
      </w:pP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Hadis pilihan</w:t>
            </w:r>
          </w:p>
          <w:p>
            <w:pPr>
              <w:jc w:val="center"/>
            </w:pPr>
            <w:r>
              <w:rPr>
                <w:rFonts w:ascii="Noto Naskh Arabic" w:hAnsi="Noto Naskh Arabic" w:eastAsia="Noto Naskh Arabic"/>
                <w:sz w:val="30"/>
              </w:rPr>
              <w:t>لَيْسَ الشَّدِيدُ بِالصُّرَعَةِ إِنَّمَا الشَّدِيدُ الَّذِي يَمْلِكُ نَفْسَهُ عِنْدَ الْغَضَبِ</w:t>
            </w:r>
          </w:p>
          <w:p>
            <w:pPr>
              <w:jc w:val="both"/>
            </w:pPr>
            <w:r>
              <w:rPr>
                <w:b/>
              </w:rPr>
              <w:t xml:space="preserve">Maksud ringkas: </w:t>
            </w:r>
            <w:r>
              <w:t>Orang kuat bukan yang menang bergusti, tetapi yang menguasai dirinya ketika marah.</w:t>
            </w:r>
          </w:p>
          <w:p>
            <w:pPr>
              <w:jc w:val="right"/>
            </w:pPr>
            <w:r>
              <w:rPr>
                <w:i/>
                <w:color w:val="5A5A5A"/>
                <w:sz w:val="16"/>
              </w:rPr>
              <w:t>Riwayat al-Bukhari dan Muslim</w:t>
            </w:r>
          </w:p>
        </w:tc>
      </w:tr>
    </w:tbl>
    <w:p>
      <w:pPr>
        <w:spacing w:after="0"/>
      </w:pPr>
    </w:p>
    <w:tbl>
      <w:tblPr>
        <w:tblW w:type="auto" w:w="0"/>
        <w:jc w:val="center"/>
        <w:tblLook w:firstColumn="1" w:firstRow="1" w:lastColumn="0" w:lastRow="0" w:noHBand="0" w:noVBand="1" w:val="04A0"/>
      </w:tblPr>
      <w:tblGrid>
        <w:gridCol w:w="9994"/>
      </w:tblGrid>
      <w:tr>
        <w:tc>
          <w:tcPr>
            <w:tcW w:type="dxa" w:w="9994"/>
            <w:shd w:fill="FFF7E6"/>
            <w:tcMar>
              <w:top w:w="120" w:type="dxa"/>
              <w:start w:w="160" w:type="dxa"/>
              <w:bottom w:w="120" w:type="dxa"/>
              <w:end w:w="160" w:type="dxa"/>
            </w:tcMar>
          </w:tcPr>
          <w:p>
            <w:r>
              <w:rPr>
                <w:b/>
                <w:color w:val="8D5A0F"/>
              </w:rPr>
              <w:t xml:space="preserve">Muhasabah: </w:t>
            </w:r>
            <w:r>
              <w:t>Apakah tanda awal marah dalam diri saya, dan apakah tindakan berhenti yang akan saya gunakan?</w:t>
            </w:r>
          </w:p>
        </w:tc>
      </w:tr>
    </w:tbl>
    <w:p/>
    <w:p>
      <w:pPr>
        <w:pStyle w:val="Heading1"/>
      </w:pPr>
      <w:r>
        <w:t>Fasal 4: Dengki</w:t>
      </w:r>
    </w:p>
    <w:p>
      <w:pPr>
        <w:pStyle w:val="BodyText"/>
      </w:pPr>
      <w:r>
        <w:t>Dengki ialah tidak senang terhadap nikmat orang lain serta menginginkan nikmat itu hilang. Ia berbeza daripada ghibtah, iaitu ingin memperoleh kebaikan yang sama tanpa berharap nikmat orang lain lenyap.</w:t>
      </w:r>
    </w:p>
    <w:p>
      <w:pPr>
        <w:pStyle w:val="Heading2"/>
      </w:pPr>
      <w:r>
        <w:t>Mengapa ia berbahaya</w:t>
      </w:r>
    </w:p>
    <w:p>
      <w:pPr>
        <w:pStyle w:val="ListBullet"/>
        <w:spacing w:after="60"/>
      </w:pPr>
      <w:r>
        <w:t>Menyeksa diri kerana nikmat orang lain tidak berkurang dengan kedengkian.</w:t>
      </w:r>
    </w:p>
    <w:p>
      <w:pPr>
        <w:pStyle w:val="ListBullet"/>
        <w:spacing w:after="60"/>
      </w:pPr>
      <w:r>
        <w:t>Merosakkan pahala dan mengubah persaudaraan menjadi permusuhan.</w:t>
      </w:r>
    </w:p>
    <w:p>
      <w:pPr>
        <w:pStyle w:val="ListBullet"/>
        <w:spacing w:after="60"/>
      </w:pPr>
      <w:r>
        <w:t>Menunjukkan bantahan hati terhadap pembahagian kurniaan Allah.</w:t>
      </w:r>
    </w:p>
    <w:p>
      <w:pPr>
        <w:pStyle w:val="Heading2"/>
      </w:pPr>
      <w:r>
        <w:t>Punca yang perlu diawasi</w:t>
      </w:r>
    </w:p>
    <w:p>
      <w:pPr>
        <w:pStyle w:val="ListBullet"/>
        <w:spacing w:after="60"/>
      </w:pPr>
      <w:r>
        <w:t>Takbur, persaingan tidak sihat dan permusuhan.</w:t>
      </w:r>
    </w:p>
    <w:p>
      <w:pPr>
        <w:pStyle w:val="ListBullet"/>
        <w:spacing w:after="60"/>
      </w:pPr>
      <w:r>
        <w:t>Sangkaan bahawa kejayaan orang lain mengurangkan nilai diri.</w:t>
      </w:r>
    </w:p>
    <w:p>
      <w:pPr>
        <w:pStyle w:val="ListBullet"/>
        <w:spacing w:after="60"/>
      </w:pPr>
      <w:r>
        <w:t>Kurang syukur terhadap nikmat sendiri.</w:t>
      </w:r>
    </w:p>
    <w:p>
      <w:pPr>
        <w:pStyle w:val="Heading2"/>
      </w:pPr>
      <w:r>
        <w:t>Rawatan dan latihan praktikal</w:t>
      </w:r>
    </w:p>
    <w:p>
      <w:pPr>
        <w:pStyle w:val="ListBullet"/>
        <w:spacing w:after="60"/>
      </w:pPr>
      <w:r>
        <w:t>Doakan kebaikan bagi orang yang dicemburui.</w:t>
      </w:r>
    </w:p>
    <w:p>
      <w:pPr>
        <w:pStyle w:val="ListBullet"/>
        <w:spacing w:after="60"/>
      </w:pPr>
      <w:r>
        <w:t>Puji kebaikannya secara benar dan latih diri membantu kejayaannya.</w:t>
      </w:r>
    </w:p>
    <w:p>
      <w:pPr>
        <w:pStyle w:val="ListBullet"/>
        <w:spacing w:after="60"/>
      </w:pPr>
      <w:r>
        <w:t>Catat nikmat sendiri dan tukarkan dengki kepada ghibtah serta usaha yang halal.</w:t>
      </w: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Ayat al-Quran</w:t>
            </w:r>
          </w:p>
          <w:p>
            <w:pPr>
              <w:jc w:val="center"/>
            </w:pPr>
            <w:r>
              <w:rPr>
                <w:rFonts w:ascii="Noto Naskh Arabic" w:hAnsi="Noto Naskh Arabic" w:eastAsia="Noto Naskh Arabic"/>
                <w:sz w:val="30"/>
              </w:rPr>
              <w:t>ادْفَعْ بِالَّتِي هِيَ أَحْسَنُ فَإِذَا الَّذِي بَيْنَكَ وَبَيْنَهُ عَدَاوَةٌ كَأَنَّهُ وَلِيٌّ حَمِيمٌ</w:t>
            </w:r>
          </w:p>
          <w:p>
            <w:pPr>
              <w:jc w:val="both"/>
            </w:pPr>
            <w:r>
              <w:rPr>
                <w:b/>
              </w:rPr>
              <w:t xml:space="preserve">Maksud ringkas: </w:t>
            </w:r>
            <w:r>
              <w:t>Balaslah keburukan dengan cara yang lebih baik sehingga musuh boleh menjadi sahabat karib.</w:t>
            </w:r>
          </w:p>
          <w:p>
            <w:pPr>
              <w:jc w:val="right"/>
            </w:pPr>
            <w:r>
              <w:rPr>
                <w:i/>
                <w:color w:val="5A5A5A"/>
                <w:sz w:val="16"/>
              </w:rPr>
              <w:t>Surah Fussilat 41:34</w:t>
            </w:r>
          </w:p>
        </w:tc>
      </w:tr>
    </w:tbl>
    <w:p>
      <w:pPr>
        <w:spacing w:after="0"/>
      </w:pP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Hadis pilihan</w:t>
            </w:r>
          </w:p>
          <w:p>
            <w:pPr>
              <w:jc w:val="center"/>
            </w:pPr>
            <w:r>
              <w:rPr>
                <w:rFonts w:ascii="Noto Naskh Arabic" w:hAnsi="Noto Naskh Arabic" w:eastAsia="Noto Naskh Arabic"/>
                <w:sz w:val="30"/>
              </w:rPr>
              <w:t>لَا تَحَاسَدُوا وَلَا تَبَاغَضُوا وَكُونُوا عِبَادَ اللَّهِ إِخْوَانًا</w:t>
            </w:r>
          </w:p>
          <w:p>
            <w:pPr>
              <w:jc w:val="both"/>
            </w:pPr>
            <w:r>
              <w:rPr>
                <w:b/>
              </w:rPr>
              <w:t xml:space="preserve">Maksud ringkas: </w:t>
            </w:r>
            <w:r>
              <w:t>Jangan saling berdengki dan membenci; jadilah hamba Allah yang bersaudara.</w:t>
            </w:r>
          </w:p>
          <w:p>
            <w:pPr>
              <w:jc w:val="right"/>
            </w:pPr>
            <w:r>
              <w:rPr>
                <w:i/>
                <w:color w:val="5A5A5A"/>
                <w:sz w:val="16"/>
              </w:rPr>
              <w:t>Riwayat al-Bukhari dan Muslim</w:t>
            </w:r>
          </w:p>
        </w:tc>
      </w:tr>
    </w:tbl>
    <w:p>
      <w:pPr>
        <w:spacing w:after="0"/>
      </w:pPr>
    </w:p>
    <w:tbl>
      <w:tblPr>
        <w:tblW w:type="auto" w:w="0"/>
        <w:jc w:val="center"/>
        <w:tblLook w:firstColumn="1" w:firstRow="1" w:lastColumn="0" w:lastRow="0" w:noHBand="0" w:noVBand="1" w:val="04A0"/>
      </w:tblPr>
      <w:tblGrid>
        <w:gridCol w:w="9994"/>
      </w:tblGrid>
      <w:tr>
        <w:tc>
          <w:tcPr>
            <w:tcW w:type="dxa" w:w="9994"/>
            <w:shd w:fill="FFF7E6"/>
            <w:tcMar>
              <w:top w:w="120" w:type="dxa"/>
              <w:start w:w="160" w:type="dxa"/>
              <w:bottom w:w="120" w:type="dxa"/>
              <w:end w:w="160" w:type="dxa"/>
            </w:tcMar>
          </w:tcPr>
          <w:p>
            <w:r>
              <w:rPr>
                <w:b/>
                <w:color w:val="8D5A0F"/>
              </w:rPr>
              <w:t xml:space="preserve">Muhasabah: </w:t>
            </w:r>
            <w:r>
              <w:t>Bolehkah saya mendoakan peningkatan nikmat orang yang selama ini saya cemburui?</w:t>
            </w:r>
          </w:p>
        </w:tc>
      </w:tr>
    </w:tbl>
    <w:p/>
    <w:p>
      <w:r>
        <w:br w:type="page"/>
      </w:r>
    </w:p>
    <w:p>
      <w:pPr>
        <w:pStyle w:val="Heading1"/>
      </w:pPr>
      <w:r>
        <w:t>Fasal 5: Kikir dan cinta harta</w:t>
      </w:r>
    </w:p>
    <w:p>
      <w:pPr>
        <w:pStyle w:val="BodyText"/>
      </w:pPr>
      <w:r>
        <w:t>Kikir ialah menahan pemberian yang dituntut oleh syarak atau maruah yang baik. Cinta harta pula menjadi penyakit apabila harta menguasai hati, melalaikan zikir dan menjadikan kekayaan matlamat, bukan amanah.</w:t>
      </w:r>
    </w:p>
    <w:p>
      <w:pPr>
        <w:pStyle w:val="Heading2"/>
      </w:pPr>
      <w:r>
        <w:t>Mengapa ia berbahaya</w:t>
      </w:r>
    </w:p>
    <w:p>
      <w:pPr>
        <w:pStyle w:val="ListBullet"/>
        <w:spacing w:after="60"/>
      </w:pPr>
      <w:r>
        <w:t>Menghalang zakat, nafkah, sedekah dan bantuan yang sepatutnya.</w:t>
      </w:r>
    </w:p>
    <w:p>
      <w:pPr>
        <w:pStyle w:val="ListBullet"/>
        <w:spacing w:after="60"/>
      </w:pPr>
      <w:r>
        <w:t>Menjadikan hati sentiasa takut kehilangan dan sukar merasa cukup.</w:t>
      </w:r>
    </w:p>
    <w:p>
      <w:pPr>
        <w:pStyle w:val="ListBullet"/>
        <w:spacing w:after="60"/>
      </w:pPr>
      <w:r>
        <w:t>Harta boleh mendorong kepada syubhah, makruh dan haram apabila keinginan tidak dikawal.</w:t>
      </w:r>
    </w:p>
    <w:p>
      <w:pPr>
        <w:pStyle w:val="Heading2"/>
      </w:pPr>
      <w:r>
        <w:t>Punca yang perlu diawasi</w:t>
      </w:r>
    </w:p>
    <w:p>
      <w:pPr>
        <w:pStyle w:val="ListBullet"/>
        <w:spacing w:after="60"/>
      </w:pPr>
      <w:r>
        <w:t>Menganggap harta milik mutlak diri.</w:t>
      </w:r>
    </w:p>
    <w:p>
      <w:pPr>
        <w:pStyle w:val="ListBullet"/>
        <w:spacing w:after="60"/>
      </w:pPr>
      <w:r>
        <w:t>Takut miskin walaupun keperluan mencukupi.</w:t>
      </w:r>
    </w:p>
    <w:p>
      <w:pPr>
        <w:pStyle w:val="ListBullet"/>
        <w:spacing w:after="60"/>
      </w:pPr>
      <w:r>
        <w:t>Mencari penghormatan atau pujian melalui pemberian.</w:t>
      </w:r>
    </w:p>
    <w:p>
      <w:pPr>
        <w:pStyle w:val="Heading2"/>
      </w:pPr>
      <w:r>
        <w:t>Rawatan dan latihan praktikal</w:t>
      </w:r>
    </w:p>
    <w:p>
      <w:pPr>
        <w:pStyle w:val="ListBullet"/>
        <w:spacing w:after="60"/>
      </w:pPr>
      <w:r>
        <w:t>Tunaikan hak wajib terlebih dahulu: zakat, nafkah dan hutang.</w:t>
      </w:r>
    </w:p>
    <w:p>
      <w:pPr>
        <w:pStyle w:val="ListBullet"/>
        <w:spacing w:after="60"/>
      </w:pPr>
      <w:r>
        <w:t>Tetapkan sedekah berkala untuk melatih kemurahan.</w:t>
      </w:r>
    </w:p>
    <w:p>
      <w:pPr>
        <w:pStyle w:val="ListBullet"/>
        <w:spacing w:after="60"/>
      </w:pPr>
      <w:r>
        <w:t>Cari rezeki yang baik, ambil sekadar keperluan dan jadikan lebihan sebagai jalan manfaat.</w:t>
      </w: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Ayat al-Quran</w:t>
            </w:r>
          </w:p>
          <w:p>
            <w:pPr>
              <w:jc w:val="center"/>
            </w:pPr>
            <w:r>
              <w:rPr>
                <w:rFonts w:ascii="Noto Naskh Arabic" w:hAnsi="Noto Naskh Arabic" w:eastAsia="Noto Naskh Arabic"/>
                <w:sz w:val="30"/>
              </w:rPr>
              <w:t>وَمَنْ يُوقَ شُحَّ نَفْسِهِ فَأُولَئِكَ هُمُ الْمُفْلِحُونَ</w:t>
            </w:r>
          </w:p>
          <w:p>
            <w:pPr>
              <w:jc w:val="both"/>
            </w:pPr>
            <w:r>
              <w:rPr>
                <w:b/>
              </w:rPr>
              <w:t xml:space="preserve">Maksud ringkas: </w:t>
            </w:r>
            <w:r>
              <w:t>Sesiapa yang dipelihara daripada kekikiran dirinya, merekalah orang yang berjaya.</w:t>
            </w:r>
          </w:p>
          <w:p>
            <w:pPr>
              <w:jc w:val="right"/>
            </w:pPr>
            <w:r>
              <w:rPr>
                <w:i/>
                <w:color w:val="5A5A5A"/>
                <w:sz w:val="16"/>
              </w:rPr>
              <w:t>Surah al-Taghabun 64:16</w:t>
            </w:r>
          </w:p>
        </w:tc>
      </w:tr>
    </w:tbl>
    <w:p>
      <w:pPr>
        <w:spacing w:after="0"/>
      </w:pP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Hadis pilihan</w:t>
            </w:r>
          </w:p>
          <w:p>
            <w:pPr>
              <w:jc w:val="center"/>
            </w:pPr>
            <w:r>
              <w:rPr>
                <w:rFonts w:ascii="Noto Naskh Arabic" w:hAnsi="Noto Naskh Arabic" w:eastAsia="Noto Naskh Arabic"/>
                <w:sz w:val="30"/>
              </w:rPr>
              <w:t>إِيَّاكُمْ وَالشُّحَّ فَإِنَّمَا هَلَكَ مَنْ كَانَ قَبْلَكُمْ بِالشُّحِّ</w:t>
            </w:r>
          </w:p>
          <w:p>
            <w:pPr>
              <w:jc w:val="both"/>
            </w:pPr>
            <w:r>
              <w:rPr>
                <w:b/>
              </w:rPr>
              <w:t xml:space="preserve">Maksud ringkas: </w:t>
            </w:r>
            <w:r>
              <w:t>Jauhilah sifat kikir kerana umat terdahulu binasa disebabkan kekikiran.</w:t>
            </w:r>
          </w:p>
          <w:p>
            <w:pPr>
              <w:jc w:val="right"/>
            </w:pPr>
            <w:r>
              <w:rPr>
                <w:i/>
                <w:color w:val="5A5A5A"/>
                <w:sz w:val="16"/>
              </w:rPr>
              <w:t>Riwayat Abu Dawud</w:t>
            </w:r>
          </w:p>
        </w:tc>
      </w:tr>
    </w:tbl>
    <w:p>
      <w:pPr>
        <w:spacing w:after="0"/>
      </w:pPr>
    </w:p>
    <w:tbl>
      <w:tblPr>
        <w:tblW w:type="auto" w:w="0"/>
        <w:jc w:val="center"/>
        <w:tblLook w:firstColumn="1" w:firstRow="1" w:lastColumn="0" w:lastRow="0" w:noHBand="0" w:noVBand="1" w:val="04A0"/>
      </w:tblPr>
      <w:tblGrid>
        <w:gridCol w:w="9994"/>
      </w:tblGrid>
      <w:tr>
        <w:tc>
          <w:tcPr>
            <w:tcW w:type="dxa" w:w="9994"/>
            <w:shd w:fill="FFF7E6"/>
            <w:tcMar>
              <w:top w:w="120" w:type="dxa"/>
              <w:start w:w="160" w:type="dxa"/>
              <w:bottom w:w="120" w:type="dxa"/>
              <w:end w:w="160" w:type="dxa"/>
            </w:tcMar>
          </w:tcPr>
          <w:p>
            <w:r>
              <w:rPr>
                <w:b/>
                <w:color w:val="8D5A0F"/>
              </w:rPr>
              <w:t xml:space="preserve">Muhasabah: </w:t>
            </w:r>
            <w:r>
              <w:t>Apakah hak harta yang belum saya tunaikan kepada keluarga, masyarakat atau agama?</w:t>
            </w:r>
          </w:p>
        </w:tc>
      </w:tr>
    </w:tbl>
    <w:p/>
    <w:p>
      <w:pPr>
        <w:pStyle w:val="Heading1"/>
      </w:pPr>
      <w:r>
        <w:t>Fasal 6: Cinta kemasyhuran dan pengaruh</w:t>
      </w:r>
    </w:p>
    <w:p>
      <w:pPr>
        <w:pStyle w:val="BodyText"/>
      </w:pPr>
      <w:r>
        <w:t>Cinta kemegahan ialah keinginan menguasai hati manusia melalui pangkat, nama, pengaruh atau kedudukan. Kedudukan tidak tercela pada dirinya jika digunakan untuk menolak kezaliman dan membawa manfaat, tetapi menjadi penyakit apabila dicari untuk meninggikan diri.</w:t>
      </w:r>
    </w:p>
    <w:p>
      <w:pPr>
        <w:pStyle w:val="Heading2"/>
      </w:pPr>
      <w:r>
        <w:t>Mengapa ia berbahaya</w:t>
      </w:r>
    </w:p>
    <w:p>
      <w:pPr>
        <w:pStyle w:val="ListBullet"/>
        <w:spacing w:after="60"/>
      </w:pPr>
      <w:r>
        <w:t>Mewujudkan kebimbangan berterusan kerana kedudukan boleh hilang.</w:t>
      </w:r>
    </w:p>
    <w:p>
      <w:pPr>
        <w:pStyle w:val="ListBullet"/>
        <w:spacing w:after="60"/>
      </w:pPr>
      <w:r>
        <w:t>Mendorong seseorang menjaga imej lebih daripada kebenaran.</w:t>
      </w:r>
    </w:p>
    <w:p>
      <w:pPr>
        <w:pStyle w:val="ListBullet"/>
        <w:spacing w:after="60"/>
      </w:pPr>
      <w:r>
        <w:t>Boleh menukar amal akhirat menjadi alat mendapatkan nama dan kuasa.</w:t>
      </w:r>
    </w:p>
    <w:p>
      <w:pPr>
        <w:pStyle w:val="Heading2"/>
      </w:pPr>
      <w:r>
        <w:t>Punca yang perlu diawasi</w:t>
      </w:r>
    </w:p>
    <w:p>
      <w:pPr>
        <w:pStyle w:val="ListBullet"/>
        <w:spacing w:after="60"/>
      </w:pPr>
      <w:r>
        <w:t>Dahagakan pengiktirafan dan takut dilupakan.</w:t>
      </w:r>
    </w:p>
    <w:p>
      <w:pPr>
        <w:pStyle w:val="ListBullet"/>
        <w:spacing w:after="60"/>
      </w:pPr>
      <w:r>
        <w:t>Mengukur nilai diri melalui kedudukan di mata manusia.</w:t>
      </w:r>
    </w:p>
    <w:p>
      <w:pPr>
        <w:pStyle w:val="ListBullet"/>
        <w:spacing w:after="60"/>
      </w:pPr>
      <w:r>
        <w:t>Menganggap pengaruh sebagai bukti kemuliaan di sisi Allah.</w:t>
      </w:r>
    </w:p>
    <w:p>
      <w:pPr>
        <w:pStyle w:val="Heading2"/>
      </w:pPr>
      <w:r>
        <w:t>Rawatan dan latihan praktikal</w:t>
      </w:r>
    </w:p>
    <w:p>
      <w:pPr>
        <w:pStyle w:val="ListBullet"/>
        <w:spacing w:after="60"/>
      </w:pPr>
      <w:r>
        <w:t>Kurangkan pendedahan diri yang tidak perlu.</w:t>
      </w:r>
    </w:p>
    <w:p>
      <w:pPr>
        <w:pStyle w:val="ListBullet"/>
        <w:spacing w:after="60"/>
      </w:pPr>
      <w:r>
        <w:t>Gunakan kedudukan untuk khidmat, nasihat dan membela yang dizalimi.</w:t>
      </w:r>
    </w:p>
    <w:p>
      <w:pPr>
        <w:pStyle w:val="ListBullet"/>
        <w:spacing w:after="60"/>
      </w:pPr>
      <w:r>
        <w:t>Ingat bahawa kemuliaan akhirat lebih kekal daripada kemasyhuran dunia.</w:t>
      </w: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Ayat al-Quran</w:t>
            </w:r>
          </w:p>
          <w:p>
            <w:pPr>
              <w:jc w:val="center"/>
            </w:pPr>
            <w:r>
              <w:rPr>
                <w:rFonts w:ascii="Noto Naskh Arabic" w:hAnsi="Noto Naskh Arabic" w:eastAsia="Noto Naskh Arabic"/>
                <w:sz w:val="30"/>
              </w:rPr>
              <w:t>تِلْكَ الدَّارُ الْآخِرَةُ نَجْعَلُهَا لِلَّذِينَ لَا يُرِيدُونَ عُلُوًّا فِي الْأَرْضِ وَلَا فَسَادًا</w:t>
            </w:r>
          </w:p>
          <w:p>
            <w:pPr>
              <w:jc w:val="both"/>
            </w:pPr>
            <w:r>
              <w:rPr>
                <w:b/>
              </w:rPr>
              <w:t xml:space="preserve">Maksud ringkas: </w:t>
            </w:r>
            <w:r>
              <w:t>Negeri akhirat disediakan bagi mereka yang tidak menghendaki ketinggian dan kerosakan di bumi.</w:t>
            </w:r>
          </w:p>
          <w:p>
            <w:pPr>
              <w:jc w:val="right"/>
            </w:pPr>
            <w:r>
              <w:rPr>
                <w:i/>
                <w:color w:val="5A5A5A"/>
                <w:sz w:val="16"/>
              </w:rPr>
              <w:t>Surah al-Qasas 28:83</w:t>
            </w:r>
          </w:p>
        </w:tc>
      </w:tr>
    </w:tbl>
    <w:p>
      <w:pPr>
        <w:spacing w:after="0"/>
      </w:pP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Hadis pilihan</w:t>
            </w:r>
          </w:p>
          <w:p>
            <w:pPr>
              <w:jc w:val="center"/>
            </w:pPr>
            <w:r>
              <w:rPr>
                <w:rFonts w:ascii="Noto Naskh Arabic" w:hAnsi="Noto Naskh Arabic" w:eastAsia="Noto Naskh Arabic"/>
                <w:sz w:val="30"/>
              </w:rPr>
              <w:t>مَنْ سَمَّعَ سَمَّعَ اللَّهُ بِهِ وَمَنْ يُرَائِي يُرَائِي اللَّهُ بِهِ</w:t>
            </w:r>
          </w:p>
          <w:p>
            <w:pPr>
              <w:jc w:val="both"/>
            </w:pPr>
            <w:r>
              <w:rPr>
                <w:b/>
              </w:rPr>
              <w:t xml:space="preserve">Maksud ringkas: </w:t>
            </w:r>
            <w:r>
              <w:t>Sesiapa memperdengarkan amalnya untuk kemasyhuran, Allah akan membongkarnya; sesiapa menunjuk-nunjuk, Allah akan menzahirkannya.</w:t>
            </w:r>
          </w:p>
          <w:p>
            <w:pPr>
              <w:jc w:val="right"/>
            </w:pPr>
            <w:r>
              <w:rPr>
                <w:i/>
                <w:color w:val="5A5A5A"/>
                <w:sz w:val="16"/>
              </w:rPr>
              <w:t>Riwayat al-Bukhari dan Muslim</w:t>
            </w:r>
          </w:p>
        </w:tc>
      </w:tr>
    </w:tbl>
    <w:p>
      <w:pPr>
        <w:spacing w:after="0"/>
      </w:pPr>
    </w:p>
    <w:tbl>
      <w:tblPr>
        <w:tblW w:type="auto" w:w="0"/>
        <w:jc w:val="center"/>
        <w:tblLook w:firstColumn="1" w:firstRow="1" w:lastColumn="0" w:lastRow="0" w:noHBand="0" w:noVBand="1" w:val="04A0"/>
      </w:tblPr>
      <w:tblGrid>
        <w:gridCol w:w="9994"/>
      </w:tblGrid>
      <w:tr>
        <w:tc>
          <w:tcPr>
            <w:tcW w:type="dxa" w:w="9994"/>
            <w:shd w:fill="FFF7E6"/>
            <w:tcMar>
              <w:top w:w="120" w:type="dxa"/>
              <w:start w:w="160" w:type="dxa"/>
              <w:bottom w:w="120" w:type="dxa"/>
              <w:end w:w="160" w:type="dxa"/>
            </w:tcMar>
          </w:tcPr>
          <w:p>
            <w:r>
              <w:rPr>
                <w:b/>
                <w:color w:val="8D5A0F"/>
              </w:rPr>
              <w:t xml:space="preserve">Muhasabah: </w:t>
            </w:r>
            <w:r>
              <w:t>Jika nama saya tidak disebut, adakah saya masih mahu melakukan kebaikan yang sama?</w:t>
            </w:r>
          </w:p>
        </w:tc>
      </w:tr>
    </w:tbl>
    <w:p/>
    <w:p>
      <w:r>
        <w:br w:type="page"/>
      </w:r>
    </w:p>
    <w:p>
      <w:pPr>
        <w:pStyle w:val="Heading1"/>
      </w:pPr>
      <w:r>
        <w:t>Fasal 7: Cinta dunia</w:t>
      </w:r>
    </w:p>
    <w:p>
      <w:pPr>
        <w:pStyle w:val="BodyText"/>
      </w:pPr>
      <w:r>
        <w:t>Cinta dunia yang tercela ialah keterikatan pada perkara yang tidak memberi manfaat selepas mati. Dunia boleh menjadi ladang akhirat apabila ilmu, harta, pekerjaan dan kesenangan digunakan untuk taat dan menunaikan amanah.</w:t>
      </w:r>
    </w:p>
    <w:p>
      <w:pPr>
        <w:pStyle w:val="Heading2"/>
      </w:pPr>
      <w:r>
        <w:t>Mengapa ia berbahaya</w:t>
      </w:r>
    </w:p>
    <w:p>
      <w:pPr>
        <w:pStyle w:val="ListBullet"/>
        <w:spacing w:after="60"/>
      </w:pPr>
      <w:r>
        <w:t>Menyebabkan akhirat dilupakan dan persediaan mati ditangguhkan.</w:t>
      </w:r>
    </w:p>
    <w:p>
      <w:pPr>
        <w:pStyle w:val="ListBullet"/>
        <w:spacing w:after="60"/>
      </w:pPr>
      <w:r>
        <w:t>Menjadikan manusia mengejar kenikmatan tanpa batas.</w:t>
      </w:r>
    </w:p>
    <w:p>
      <w:pPr>
        <w:pStyle w:val="ListBullet"/>
        <w:spacing w:after="60"/>
      </w:pPr>
      <w:r>
        <w:t>Membesar-besarkan kehilangan dunia dan mengecilkan kerugian agama.</w:t>
      </w:r>
    </w:p>
    <w:p>
      <w:pPr>
        <w:pStyle w:val="Heading2"/>
      </w:pPr>
      <w:r>
        <w:t>Punca yang perlu diawasi</w:t>
      </w:r>
    </w:p>
    <w:p>
      <w:pPr>
        <w:pStyle w:val="ListBullet"/>
        <w:spacing w:after="60"/>
      </w:pPr>
      <w:r>
        <w:t>Angan-angan panjang dan rasa hidup masih lama.</w:t>
      </w:r>
    </w:p>
    <w:p>
      <w:pPr>
        <w:pStyle w:val="ListBullet"/>
        <w:spacing w:after="60"/>
      </w:pPr>
      <w:r>
        <w:t>Tidak membezakan alat dengan matlamat.</w:t>
      </w:r>
    </w:p>
    <w:p>
      <w:pPr>
        <w:pStyle w:val="ListBullet"/>
        <w:spacing w:after="60"/>
      </w:pPr>
      <w:r>
        <w:t>Kekosongan zikir dan kurang mengingati perhitungan akhirat.</w:t>
      </w:r>
    </w:p>
    <w:p>
      <w:pPr>
        <w:pStyle w:val="Heading2"/>
      </w:pPr>
      <w:r>
        <w:t>Rawatan dan latihan praktikal</w:t>
      </w:r>
    </w:p>
    <w:p>
      <w:pPr>
        <w:pStyle w:val="ListBullet"/>
        <w:spacing w:after="60"/>
      </w:pPr>
      <w:r>
        <w:t>Nilai setiap urusan dengan soalan: adakah ia bermanfaat selepas mati?</w:t>
      </w:r>
    </w:p>
    <w:p>
      <w:pPr>
        <w:pStyle w:val="ListBullet"/>
        <w:spacing w:after="60"/>
      </w:pPr>
      <w:r>
        <w:t>Gunakan harta, ilmu dan pekerjaan sebagai bekal takwa.</w:t>
      </w:r>
    </w:p>
    <w:p>
      <w:pPr>
        <w:pStyle w:val="ListBullet"/>
        <w:spacing w:after="60"/>
      </w:pPr>
      <w:r>
        <w:t>Amalkan hidup sederhana dan sentiasa memperbaharui tujuan akhirat.</w:t>
      </w: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Ayat al-Quran</w:t>
            </w:r>
          </w:p>
          <w:p>
            <w:pPr>
              <w:jc w:val="center"/>
            </w:pPr>
            <w:r>
              <w:rPr>
                <w:rFonts w:ascii="Noto Naskh Arabic" w:hAnsi="Noto Naskh Arabic" w:eastAsia="Noto Naskh Arabic"/>
                <w:sz w:val="30"/>
              </w:rPr>
              <w:t>وَتَزَوَّدُوا فَإِنَّ خَيْرَ الزَّادِ التَّقْوَى</w:t>
            </w:r>
          </w:p>
          <w:p>
            <w:pPr>
              <w:jc w:val="both"/>
            </w:pPr>
            <w:r>
              <w:rPr>
                <w:b/>
              </w:rPr>
              <w:t xml:space="preserve">Maksud ringkas: </w:t>
            </w:r>
            <w:r>
              <w:t>Sediakan bekal; sebaik-baik bekal ialah takwa.</w:t>
            </w:r>
          </w:p>
          <w:p>
            <w:pPr>
              <w:jc w:val="right"/>
            </w:pPr>
            <w:r>
              <w:rPr>
                <w:i/>
                <w:color w:val="5A5A5A"/>
                <w:sz w:val="16"/>
              </w:rPr>
              <w:t>Surah al-Baqarah 2:197</w:t>
            </w:r>
          </w:p>
        </w:tc>
      </w:tr>
    </w:tbl>
    <w:p>
      <w:pPr>
        <w:spacing w:after="0"/>
      </w:pP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Hadis pilihan</w:t>
            </w:r>
          </w:p>
          <w:p>
            <w:pPr>
              <w:jc w:val="center"/>
            </w:pPr>
            <w:r>
              <w:rPr>
                <w:rFonts w:ascii="Noto Naskh Arabic" w:hAnsi="Noto Naskh Arabic" w:eastAsia="Noto Naskh Arabic"/>
                <w:sz w:val="30"/>
              </w:rPr>
              <w:t>الدُّنْيَا سِجْنُ الْمُؤْمِنِ وَجَنَّةُ الْكَافِرِ</w:t>
            </w:r>
          </w:p>
          <w:p>
            <w:pPr>
              <w:jc w:val="both"/>
            </w:pPr>
            <w:r>
              <w:rPr>
                <w:b/>
              </w:rPr>
              <w:t xml:space="preserve">Maksud ringkas: </w:t>
            </w:r>
            <w:r>
              <w:t>Dunia ialah penjara bagi orang beriman dan syurga bagi orang kafir.</w:t>
            </w:r>
          </w:p>
          <w:p>
            <w:pPr>
              <w:jc w:val="right"/>
            </w:pPr>
            <w:r>
              <w:rPr>
                <w:i/>
                <w:color w:val="5A5A5A"/>
                <w:sz w:val="16"/>
              </w:rPr>
              <w:t>Riwayat Muslim</w:t>
            </w:r>
          </w:p>
        </w:tc>
      </w:tr>
    </w:tbl>
    <w:p>
      <w:pPr>
        <w:spacing w:after="0"/>
      </w:pPr>
    </w:p>
    <w:tbl>
      <w:tblPr>
        <w:tblW w:type="auto" w:w="0"/>
        <w:jc w:val="center"/>
        <w:tblLook w:firstColumn="1" w:firstRow="1" w:lastColumn="0" w:lastRow="0" w:noHBand="0" w:noVBand="1" w:val="04A0"/>
      </w:tblPr>
      <w:tblGrid>
        <w:gridCol w:w="9994"/>
      </w:tblGrid>
      <w:tr>
        <w:tc>
          <w:tcPr>
            <w:tcW w:type="dxa" w:w="9994"/>
            <w:shd w:fill="FFF7E6"/>
            <w:tcMar>
              <w:top w:w="120" w:type="dxa"/>
              <w:start w:w="160" w:type="dxa"/>
              <w:bottom w:w="120" w:type="dxa"/>
              <w:end w:w="160" w:type="dxa"/>
            </w:tcMar>
          </w:tcPr>
          <w:p>
            <w:r>
              <w:rPr>
                <w:b/>
                <w:color w:val="8D5A0F"/>
              </w:rPr>
              <w:t xml:space="preserve">Muhasabah: </w:t>
            </w:r>
            <w:r>
              <w:t>Apakah perkara dunia yang paling mudah melalaikan saya daripada tujuan akhirat?</w:t>
            </w:r>
          </w:p>
        </w:tc>
      </w:tr>
    </w:tbl>
    <w:p/>
    <w:p>
      <w:pPr>
        <w:pStyle w:val="Heading1"/>
      </w:pPr>
      <w:r>
        <w:t>Fasal 8: Takbur</w:t>
      </w:r>
    </w:p>
    <w:p>
      <w:pPr>
        <w:pStyle w:val="BodyText"/>
      </w:pPr>
      <w:r>
        <w:t>Takbur ialah melihat diri lebih sempurna dan orang lain lebih rendah. Tanda utamanya ialah menolak kebenaran dan merendahkan manusia. Ia menghalang seseorang daripada menerima nasihat, memaafkan dan berlaku adil.</w:t>
      </w:r>
    </w:p>
    <w:p>
      <w:pPr>
        <w:pStyle w:val="Heading2"/>
      </w:pPr>
      <w:r>
        <w:t>Mengapa ia berbahaya</w:t>
      </w:r>
    </w:p>
    <w:p>
      <w:pPr>
        <w:pStyle w:val="ListBullet"/>
        <w:spacing w:after="60"/>
      </w:pPr>
      <w:r>
        <w:t>Menutup pintu ilmu kerana enggan menerima kebenaran.</w:t>
      </w:r>
    </w:p>
    <w:p>
      <w:pPr>
        <w:pStyle w:val="ListBullet"/>
        <w:spacing w:after="60"/>
      </w:pPr>
      <w:r>
        <w:t>Melahirkan penghinaan, marah, dengki dan keras hati.</w:t>
      </w:r>
    </w:p>
    <w:p>
      <w:pPr>
        <w:pStyle w:val="ListBullet"/>
        <w:spacing w:after="60"/>
      </w:pPr>
      <w:r>
        <w:t>Menghapuskan sifat rendah diri yang menjadi jalan kemuliaan sebenar.</w:t>
      </w:r>
    </w:p>
    <w:p>
      <w:pPr>
        <w:pStyle w:val="Heading2"/>
      </w:pPr>
      <w:r>
        <w:t>Punca yang perlu diawasi</w:t>
      </w:r>
    </w:p>
    <w:p>
      <w:pPr>
        <w:pStyle w:val="ListBullet"/>
        <w:spacing w:after="60"/>
      </w:pPr>
      <w:r>
        <w:t>Lupa asal kejadian, kelemahan diri dan kesudahan hidup.</w:t>
      </w:r>
    </w:p>
    <w:p>
      <w:pPr>
        <w:pStyle w:val="ListBullet"/>
        <w:spacing w:after="60"/>
      </w:pPr>
      <w:r>
        <w:t>Membandingkan kelebihan diri dengan kekurangan orang lain.</w:t>
      </w:r>
    </w:p>
    <w:p>
      <w:pPr>
        <w:pStyle w:val="ListBullet"/>
        <w:spacing w:after="60"/>
      </w:pPr>
      <w:r>
        <w:t>Menganggap ilmu, ibadah, harta atau kedudukan sebagai hasil diri semata-mata.</w:t>
      </w:r>
    </w:p>
    <w:p>
      <w:pPr>
        <w:pStyle w:val="Heading2"/>
      </w:pPr>
      <w:r>
        <w:t>Rawatan dan latihan praktikal</w:t>
      </w:r>
    </w:p>
    <w:p>
      <w:pPr>
        <w:pStyle w:val="ListBullet"/>
        <w:spacing w:after="60"/>
      </w:pPr>
      <w:r>
        <w:t>Kenali kelemahan dan kebergantungan diri kepada Allah.</w:t>
      </w:r>
    </w:p>
    <w:p>
      <w:pPr>
        <w:pStyle w:val="ListBullet"/>
        <w:spacing w:after="60"/>
      </w:pPr>
      <w:r>
        <w:t>Terima nasihat walaupun datang daripada orang yang lebih muda atau kurang kedudukan.</w:t>
      </w:r>
    </w:p>
    <w:p>
      <w:pPr>
        <w:pStyle w:val="ListBullet"/>
        <w:spacing w:after="60"/>
      </w:pPr>
      <w:r>
        <w:t>Latih tawaduk, memaafkan dan melayani orang lain tanpa mengharapkan layanan khas.</w:t>
      </w: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Ayat al-Quran</w:t>
            </w:r>
          </w:p>
          <w:p>
            <w:pPr>
              <w:jc w:val="center"/>
            </w:pPr>
            <w:r>
              <w:rPr>
                <w:rFonts w:ascii="Noto Naskh Arabic" w:hAnsi="Noto Naskh Arabic" w:eastAsia="Noto Naskh Arabic"/>
                <w:sz w:val="30"/>
              </w:rPr>
              <w:t>فَبِئْسَ مَثْوَى الْمُتَكَبِّرِينَ</w:t>
            </w:r>
          </w:p>
          <w:p>
            <w:pPr>
              <w:jc w:val="both"/>
            </w:pPr>
            <w:r>
              <w:rPr>
                <w:b/>
              </w:rPr>
              <w:t xml:space="preserve">Maksud ringkas: </w:t>
            </w:r>
            <w:r>
              <w:t>Amat buruk tempat tinggal orang yang sombong.</w:t>
            </w:r>
          </w:p>
          <w:p>
            <w:pPr>
              <w:jc w:val="right"/>
            </w:pPr>
            <w:r>
              <w:rPr>
                <w:i/>
                <w:color w:val="5A5A5A"/>
                <w:sz w:val="16"/>
              </w:rPr>
              <w:t>Surah al-Zumar 39:72</w:t>
            </w:r>
          </w:p>
        </w:tc>
      </w:tr>
    </w:tbl>
    <w:p>
      <w:pPr>
        <w:spacing w:after="0"/>
      </w:pP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Hadis pilihan</w:t>
            </w:r>
          </w:p>
          <w:p>
            <w:pPr>
              <w:jc w:val="center"/>
            </w:pPr>
            <w:r>
              <w:rPr>
                <w:rFonts w:ascii="Noto Naskh Arabic" w:hAnsi="Noto Naskh Arabic" w:eastAsia="Noto Naskh Arabic"/>
                <w:sz w:val="30"/>
              </w:rPr>
              <w:t>الْكِبْرُ بَطَرُ الْحَقِّ وَغَمْطُ النَّاسِ</w:t>
            </w:r>
          </w:p>
          <w:p>
            <w:pPr>
              <w:jc w:val="both"/>
            </w:pPr>
            <w:r>
              <w:rPr>
                <w:b/>
              </w:rPr>
              <w:t xml:space="preserve">Maksud ringkas: </w:t>
            </w:r>
            <w:r>
              <w:t>Takbur ialah menolak kebenaran dan merendahkan manusia.</w:t>
            </w:r>
          </w:p>
          <w:p>
            <w:pPr>
              <w:jc w:val="right"/>
            </w:pPr>
            <w:r>
              <w:rPr>
                <w:i/>
                <w:color w:val="5A5A5A"/>
                <w:sz w:val="16"/>
              </w:rPr>
              <w:t>Riwayat Muslim</w:t>
            </w:r>
          </w:p>
        </w:tc>
      </w:tr>
    </w:tbl>
    <w:p>
      <w:pPr>
        <w:spacing w:after="0"/>
      </w:pPr>
    </w:p>
    <w:tbl>
      <w:tblPr>
        <w:tblW w:type="auto" w:w="0"/>
        <w:jc w:val="center"/>
        <w:tblLook w:firstColumn="1" w:firstRow="1" w:lastColumn="0" w:lastRow="0" w:noHBand="0" w:noVBand="1" w:val="04A0"/>
      </w:tblPr>
      <w:tblGrid>
        <w:gridCol w:w="9994"/>
      </w:tblGrid>
      <w:tr>
        <w:tc>
          <w:tcPr>
            <w:tcW w:type="dxa" w:w="9994"/>
            <w:shd w:fill="FFF7E6"/>
            <w:tcMar>
              <w:top w:w="120" w:type="dxa"/>
              <w:start w:w="160" w:type="dxa"/>
              <w:bottom w:w="120" w:type="dxa"/>
              <w:end w:w="160" w:type="dxa"/>
            </w:tcMar>
          </w:tcPr>
          <w:p>
            <w:r>
              <w:rPr>
                <w:b/>
                <w:color w:val="8D5A0F"/>
              </w:rPr>
              <w:t xml:space="preserve">Muhasabah: </w:t>
            </w:r>
            <w:r>
              <w:t>Kebenaran daripada siapa yang paling sukar saya terima, dan mengapa?</w:t>
            </w:r>
          </w:p>
        </w:tc>
      </w:tr>
    </w:tbl>
    <w:p/>
    <w:p>
      <w:r>
        <w:br w:type="page"/>
      </w:r>
    </w:p>
    <w:p>
      <w:pPr>
        <w:pStyle w:val="Heading1"/>
      </w:pPr>
      <w:r>
        <w:t>Fasal 9: Ujub</w:t>
      </w:r>
    </w:p>
    <w:p>
      <w:pPr>
        <w:pStyle w:val="BodyText"/>
      </w:pPr>
      <w:r>
        <w:t>Ujub ialah kagum terhadap diri, ilmu, ibadah atau kelebihan sendiri sambil melupakan bahawa semua itu kurniaan Allah dan boleh ditarik semula. Takbur memerlukan orang lain untuk direndahkan, sedangkan ujub boleh berlaku walaupun seseorang bersendirian.</w:t>
      </w:r>
    </w:p>
    <w:p>
      <w:pPr>
        <w:pStyle w:val="Heading2"/>
      </w:pPr>
      <w:r>
        <w:t>Mengapa ia berbahaya</w:t>
      </w:r>
    </w:p>
    <w:p>
      <w:pPr>
        <w:pStyle w:val="ListBullet"/>
        <w:spacing w:after="60"/>
      </w:pPr>
      <w:r>
        <w:t>Merosakkan amal kerana seseorang merasa telah selamat dan tidak perlu memperbaiki diri.</w:t>
      </w:r>
    </w:p>
    <w:p>
      <w:pPr>
        <w:pStyle w:val="ListBullet"/>
        <w:spacing w:after="60"/>
      </w:pPr>
      <w:r>
        <w:t>Menjadi pintu kepada takbur, riak dan rasa aman daripada ujian.</w:t>
      </w:r>
    </w:p>
    <w:p>
      <w:pPr>
        <w:pStyle w:val="ListBullet"/>
        <w:spacing w:after="60"/>
      </w:pPr>
      <w:r>
        <w:t>Mengurangkan kesyukuran kerana nikmat dinisbahkan kepada diri.</w:t>
      </w:r>
    </w:p>
    <w:p>
      <w:pPr>
        <w:pStyle w:val="Heading2"/>
      </w:pPr>
      <w:r>
        <w:t>Punca yang perlu diawasi</w:t>
      </w:r>
    </w:p>
    <w:p>
      <w:pPr>
        <w:pStyle w:val="ListBullet"/>
        <w:spacing w:after="60"/>
      </w:pPr>
      <w:r>
        <w:t>Kejahilan tentang sumber sebenar nikmat.</w:t>
      </w:r>
    </w:p>
    <w:p>
      <w:pPr>
        <w:pStyle w:val="ListBullet"/>
        <w:spacing w:after="60"/>
      </w:pPr>
      <w:r>
        <w:t>Memusatkan perhatian pada pencapaian, bukan pertolongan Allah.</w:t>
      </w:r>
    </w:p>
    <w:p>
      <w:pPr>
        <w:pStyle w:val="ListBullet"/>
        <w:spacing w:after="60"/>
      </w:pPr>
      <w:r>
        <w:t>Tidak memikirkan kemungkinan nikmat menjadi ujian atau istidraj.</w:t>
      </w:r>
    </w:p>
    <w:p>
      <w:pPr>
        <w:pStyle w:val="Heading2"/>
      </w:pPr>
      <w:r>
        <w:t>Rawatan dan latihan praktikal</w:t>
      </w:r>
    </w:p>
    <w:p>
      <w:pPr>
        <w:pStyle w:val="ListBullet"/>
        <w:spacing w:after="60"/>
      </w:pPr>
      <w:r>
        <w:t>Nisbahkan kejayaan kepada rahmat dan pertolongan Allah.</w:t>
      </w:r>
    </w:p>
    <w:p>
      <w:pPr>
        <w:pStyle w:val="ListBullet"/>
        <w:spacing w:after="60"/>
      </w:pPr>
      <w:r>
        <w:t>Takut kehilangan nikmat dan mohon keteguhan.</w:t>
      </w:r>
    </w:p>
    <w:p>
      <w:pPr>
        <w:pStyle w:val="ListBullet"/>
        <w:spacing w:after="60"/>
      </w:pPr>
      <w:r>
        <w:t>Lihat kekurangan amal, bukan hanya pencapaian zahir.</w:t>
      </w: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Ayat al-Quran</w:t>
            </w:r>
          </w:p>
          <w:p>
            <w:pPr>
              <w:jc w:val="center"/>
            </w:pPr>
            <w:r>
              <w:rPr>
                <w:rFonts w:ascii="Noto Naskh Arabic" w:hAnsi="Noto Naskh Arabic" w:eastAsia="Noto Naskh Arabic"/>
                <w:sz w:val="30"/>
              </w:rPr>
              <w:t>وَيَوْمَ حُنَيْنٍ إِذْ أَعْجَبَتْكُمْ كَثْرَتُكُمْ فَلَمْ تُغْنِ عَنْكُمْ شَيْئًا</w:t>
            </w:r>
          </w:p>
          <w:p>
            <w:pPr>
              <w:jc w:val="both"/>
            </w:pPr>
            <w:r>
              <w:rPr>
                <w:b/>
              </w:rPr>
              <w:t xml:space="preserve">Maksud ringkas: </w:t>
            </w:r>
            <w:r>
              <w:t>Pada hari Hunain, jumlah yang ramai mengagumkan kamu, tetapi tidak memberi manfaat kepada kamu.</w:t>
            </w:r>
          </w:p>
          <w:p>
            <w:pPr>
              <w:jc w:val="right"/>
            </w:pPr>
            <w:r>
              <w:rPr>
                <w:i/>
                <w:color w:val="5A5A5A"/>
                <w:sz w:val="16"/>
              </w:rPr>
              <w:t>Surah al-Tawbah 9:25</w:t>
            </w:r>
          </w:p>
        </w:tc>
      </w:tr>
    </w:tbl>
    <w:p>
      <w:pPr>
        <w:spacing w:after="0"/>
      </w:pP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Hadis pilihan</w:t>
            </w:r>
          </w:p>
          <w:p>
            <w:pPr>
              <w:jc w:val="center"/>
            </w:pPr>
            <w:r>
              <w:rPr>
                <w:rFonts w:ascii="Noto Naskh Arabic" w:hAnsi="Noto Naskh Arabic" w:eastAsia="Noto Naskh Arabic"/>
                <w:sz w:val="30"/>
              </w:rPr>
              <w:t>ثَلَاثٌ مُهْلِكَاتٌ شُحٌّ مُطَاعٌ وَهَوًى مُتَّبَعٌ وَإِعْجَابُ الْمَرْءِ بِنَفْسِهِ</w:t>
            </w:r>
          </w:p>
          <w:p>
            <w:pPr>
              <w:jc w:val="both"/>
            </w:pPr>
            <w:r>
              <w:rPr>
                <w:b/>
              </w:rPr>
              <w:t xml:space="preserve">Maksud ringkas: </w:t>
            </w:r>
            <w:r>
              <w:t>Tiga perkara membinasakan: kikir yang ditaati, hawa nafsu yang diikuti dan kekaguman seseorang terhadap dirinya.</w:t>
            </w:r>
          </w:p>
          <w:p>
            <w:pPr>
              <w:jc w:val="right"/>
            </w:pPr>
            <w:r>
              <w:rPr>
                <w:i/>
                <w:color w:val="5A5A5A"/>
                <w:sz w:val="16"/>
              </w:rPr>
              <w:t>Riwayat al-Tabarani; dinukil dalam rujukan</w:t>
            </w:r>
          </w:p>
        </w:tc>
      </w:tr>
    </w:tbl>
    <w:p>
      <w:pPr>
        <w:spacing w:after="0"/>
      </w:pPr>
    </w:p>
    <w:tbl>
      <w:tblPr>
        <w:tblW w:type="auto" w:w="0"/>
        <w:jc w:val="center"/>
        <w:tblLook w:firstColumn="1" w:firstRow="1" w:lastColumn="0" w:lastRow="0" w:noHBand="0" w:noVBand="1" w:val="04A0"/>
      </w:tblPr>
      <w:tblGrid>
        <w:gridCol w:w="9994"/>
      </w:tblGrid>
      <w:tr>
        <w:tc>
          <w:tcPr>
            <w:tcW w:type="dxa" w:w="9994"/>
            <w:shd w:fill="FFF7E6"/>
            <w:tcMar>
              <w:top w:w="120" w:type="dxa"/>
              <w:start w:w="160" w:type="dxa"/>
              <w:bottom w:w="120" w:type="dxa"/>
              <w:end w:w="160" w:type="dxa"/>
            </w:tcMar>
          </w:tcPr>
          <w:p>
            <w:r>
              <w:rPr>
                <w:b/>
                <w:color w:val="8D5A0F"/>
              </w:rPr>
              <w:t xml:space="preserve">Muhasabah: </w:t>
            </w:r>
            <w:r>
              <w:t>Apabila berjaya, adakah saya lebih cepat bersyukur atau lebih cepat merasa hebat?</w:t>
            </w:r>
          </w:p>
        </w:tc>
      </w:tr>
    </w:tbl>
    <w:p/>
    <w:p>
      <w:pPr>
        <w:pStyle w:val="Heading1"/>
      </w:pPr>
      <w:r>
        <w:t>Fasal 10: Riyak</w:t>
      </w:r>
    </w:p>
    <w:p>
      <w:pPr>
        <w:pStyle w:val="BodyText"/>
      </w:pPr>
      <w:r>
        <w:t>Riyak ialah melakukan ibadah atau kebaikan untuk mendapatkan kedudukan dalam hati manusia, pujian, harta atau manfaat dunia. Ia digelar syirik kecil kerana tujuan amal dialihkan daripada Allah kepada pandangan makhluk.</w:t>
      </w:r>
    </w:p>
    <w:p>
      <w:pPr>
        <w:pStyle w:val="Heading2"/>
      </w:pPr>
      <w:r>
        <w:t>Mengapa ia berbahaya</w:t>
      </w:r>
    </w:p>
    <w:p>
      <w:pPr>
        <w:pStyle w:val="ListBullet"/>
        <w:spacing w:after="60"/>
      </w:pPr>
      <w:r>
        <w:t>Amal kehilangan nilai apabila tujuan utamanya bukan Allah.</w:t>
      </w:r>
    </w:p>
    <w:p>
      <w:pPr>
        <w:pStyle w:val="ListBullet"/>
        <w:spacing w:after="60"/>
      </w:pPr>
      <w:r>
        <w:t>Mewujudkan ketagihan kepada pujian dan ketakutan terhadap celaan manusia.</w:t>
      </w:r>
    </w:p>
    <w:p>
      <w:pPr>
        <w:pStyle w:val="ListBullet"/>
        <w:spacing w:after="60"/>
      </w:pPr>
      <w:r>
        <w:t>Mendorong seseorang mempamerkan tubuh, pakaian, kata-kata, ibadah atau jaringan pergaulan untuk imej agama.</w:t>
      </w:r>
    </w:p>
    <w:p>
      <w:pPr>
        <w:pStyle w:val="Heading2"/>
      </w:pPr>
      <w:r>
        <w:t>Punca yang perlu diawasi</w:t>
      </w:r>
    </w:p>
    <w:p>
      <w:pPr>
        <w:pStyle w:val="ListBullet"/>
        <w:spacing w:after="60"/>
      </w:pPr>
      <w:r>
        <w:t>Cinta pujian.</w:t>
      </w:r>
    </w:p>
    <w:p>
      <w:pPr>
        <w:pStyle w:val="ListBullet"/>
        <w:spacing w:after="60"/>
      </w:pPr>
      <w:r>
        <w:t>Takut dicela.</w:t>
      </w:r>
    </w:p>
    <w:p>
      <w:pPr>
        <w:pStyle w:val="ListBullet"/>
        <w:spacing w:after="60"/>
      </w:pPr>
      <w:r>
        <w:t>Tamak kepada manfaat yang berada di tangan manusia.</w:t>
      </w:r>
    </w:p>
    <w:p>
      <w:pPr>
        <w:pStyle w:val="Heading2"/>
      </w:pPr>
      <w:r>
        <w:t>Rawatan dan latihan praktikal</w:t>
      </w:r>
    </w:p>
    <w:p>
      <w:pPr>
        <w:pStyle w:val="ListBullet"/>
        <w:spacing w:after="60"/>
      </w:pPr>
      <w:r>
        <w:t>Sembunyikan amal apabila tiada maslahat untuk menzahirkannya.</w:t>
      </w:r>
    </w:p>
    <w:p>
      <w:pPr>
        <w:pStyle w:val="ListBullet"/>
        <w:spacing w:after="60"/>
      </w:pPr>
      <w:r>
        <w:t>Jangan tinggalkan ibadah semata-mata kerana takut riyak; teruskan sambil melawan niat yang salah.</w:t>
      </w:r>
    </w:p>
    <w:p>
      <w:pPr>
        <w:pStyle w:val="ListBullet"/>
        <w:spacing w:after="60"/>
      </w:pPr>
      <w:r>
        <w:t>Perbaharui niat sebelum, semasa dan selepas amal serta ingat bahawa ganjaran makhluk tidak pasti.</w:t>
      </w: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Ayat al-Quran</w:t>
            </w:r>
          </w:p>
          <w:p>
            <w:pPr>
              <w:jc w:val="center"/>
            </w:pPr>
            <w:r>
              <w:rPr>
                <w:rFonts w:ascii="Noto Naskh Arabic" w:hAnsi="Noto Naskh Arabic" w:eastAsia="Noto Naskh Arabic"/>
                <w:sz w:val="30"/>
              </w:rPr>
              <w:t>فَوَيْلٌ لِلْمُصَلِّينَ الَّذِينَ هُمْ عَنْ صَلَاتِهِمْ سَاهُونَ الَّذِينَ هُمْ يُرَاءُونَ</w:t>
            </w:r>
          </w:p>
          <w:p>
            <w:pPr>
              <w:jc w:val="both"/>
            </w:pPr>
            <w:r>
              <w:rPr>
                <w:b/>
              </w:rPr>
              <w:t xml:space="preserve">Maksud ringkas: </w:t>
            </w:r>
            <w:r>
              <w:t>Kecelakaan bagi orang yang solat tetapi lalai dan berbuat riyak.</w:t>
            </w:r>
          </w:p>
          <w:p>
            <w:pPr>
              <w:jc w:val="right"/>
            </w:pPr>
            <w:r>
              <w:rPr>
                <w:i/>
                <w:color w:val="5A5A5A"/>
                <w:sz w:val="16"/>
              </w:rPr>
              <w:t>Surah al-Ma‘un 107:4–6</w:t>
            </w:r>
          </w:p>
        </w:tc>
      </w:tr>
    </w:tbl>
    <w:p>
      <w:pPr>
        <w:spacing w:after="0"/>
      </w:pPr>
    </w:p>
    <w:tbl>
      <w:tblPr>
        <w:tblW w:type="auto" w:w="0"/>
        <w:jc w:val="center"/>
        <w:tblLook w:firstColumn="1" w:firstRow="1" w:lastColumn="0" w:lastRow="0" w:noHBand="0" w:noVBand="1" w:val="04A0"/>
      </w:tblPr>
      <w:tblGrid>
        <w:gridCol w:w="9994"/>
      </w:tblGrid>
      <w:tr>
        <w:tc>
          <w:tcPr>
            <w:tcW w:type="dxa" w:w="9994"/>
            <w:shd w:fill="F3F8F4"/>
            <w:tcMar>
              <w:top w:w="140" w:type="dxa"/>
              <w:start w:w="180" w:type="dxa"/>
              <w:bottom w:w="140" w:type="dxa"/>
              <w:end w:w="180" w:type="dxa"/>
            </w:tcMar>
          </w:tcPr>
          <w:p>
            <w:r>
              <w:rPr>
                <w:rFonts w:ascii="Aptos" w:hAnsi="Aptos"/>
                <w:b/>
                <w:color w:val="195C4A"/>
              </w:rPr>
              <w:t>Hadis pilihan</w:t>
            </w:r>
          </w:p>
          <w:p>
            <w:pPr>
              <w:jc w:val="center"/>
            </w:pPr>
            <w:r>
              <w:rPr>
                <w:rFonts w:ascii="Noto Naskh Arabic" w:hAnsi="Noto Naskh Arabic" w:eastAsia="Noto Naskh Arabic"/>
                <w:sz w:val="30"/>
              </w:rPr>
              <w:t>إِنَّ أَخْوَفَ مَا أَخَافُ عَلَيْكُمُ الشِّرْكُ الْأَصْغَرُ وَهُوَ الرِّيَاءُ</w:t>
            </w:r>
          </w:p>
          <w:p>
            <w:pPr>
              <w:jc w:val="both"/>
            </w:pPr>
            <w:r>
              <w:rPr>
                <w:b/>
              </w:rPr>
              <w:t xml:space="preserve">Maksud ringkas: </w:t>
            </w:r>
            <w:r>
              <w:t>Perkara yang paling aku takutkan atas kamu ialah syirik kecil, iaitu riyak.</w:t>
            </w:r>
          </w:p>
          <w:p>
            <w:pPr>
              <w:jc w:val="right"/>
            </w:pPr>
            <w:r>
              <w:rPr>
                <w:i/>
                <w:color w:val="5A5A5A"/>
                <w:sz w:val="16"/>
              </w:rPr>
              <w:t>Riwayat Ahmad; dinukil dalam rujukan</w:t>
            </w:r>
          </w:p>
        </w:tc>
      </w:tr>
    </w:tbl>
    <w:p>
      <w:pPr>
        <w:spacing w:after="0"/>
      </w:pPr>
    </w:p>
    <w:tbl>
      <w:tblPr>
        <w:tblW w:type="auto" w:w="0"/>
        <w:jc w:val="center"/>
        <w:tblLook w:firstColumn="1" w:firstRow="1" w:lastColumn="0" w:lastRow="0" w:noHBand="0" w:noVBand="1" w:val="04A0"/>
      </w:tblPr>
      <w:tblGrid>
        <w:gridCol w:w="9994"/>
      </w:tblGrid>
      <w:tr>
        <w:tc>
          <w:tcPr>
            <w:tcW w:type="dxa" w:w="9994"/>
            <w:shd w:fill="FFF7E6"/>
            <w:tcMar>
              <w:top w:w="120" w:type="dxa"/>
              <w:start w:w="160" w:type="dxa"/>
              <w:bottom w:w="120" w:type="dxa"/>
              <w:end w:w="160" w:type="dxa"/>
            </w:tcMar>
          </w:tcPr>
          <w:p>
            <w:r>
              <w:rPr>
                <w:b/>
                <w:color w:val="8D5A0F"/>
              </w:rPr>
              <w:t xml:space="preserve">Muhasabah: </w:t>
            </w:r>
            <w:r>
              <w:t>Jika tiada seorang pun melihat atau memuji, adakah amal ini tetap akan saya lakukan?</w:t>
            </w:r>
          </w:p>
        </w:tc>
      </w:tr>
    </w:tbl>
    <w:p/>
    <w:p>
      <w:pPr>
        <w:pStyle w:val="Title"/>
      </w:pPr>
      <w:r>
        <w:t>Integrated Purification Plan</w:t>
      </w:r>
    </w:p>
    <w:p>
      <w:r>
        <w:t>The ten diseases are interconnected. Excess appetite can strengthen worldly desire; worldly desire can encourage attachment to wealth and status; status can produce pride, self-admiration and showing off. A practical programme therefore needs daily discipline, not isolated knowledge.</w:t>
      </w:r>
    </w:p>
    <w:tbl>
      <w:tblPr>
        <w:tblStyle w:val="TableGrid"/>
        <w:tblW w:type="auto" w:w="0"/>
        <w:jc w:val="center"/>
        <w:tblLook w:firstColumn="1" w:firstRow="1" w:lastColumn="0" w:lastRow="0" w:noHBand="0" w:noVBand="1" w:val="04A0"/>
      </w:tblPr>
      <w:tblGrid>
        <w:gridCol w:w="4997"/>
        <w:gridCol w:w="4997"/>
      </w:tblGrid>
      <w:tr>
        <w:tc>
          <w:tcPr>
            <w:tcW w:type="dxa" w:w="4997"/>
            <w:shd w:fill="195C4A"/>
            <w:tcMar>
              <w:top w:w="80" w:type="dxa"/>
              <w:start w:w="110" w:type="dxa"/>
              <w:bottom w:w="80" w:type="dxa"/>
              <w:end w:w="110" w:type="dxa"/>
            </w:tcMar>
          </w:tcPr>
          <w:p>
            <w:r>
              <w:rPr>
                <w:b/>
                <w:color w:val="FFFFFF"/>
              </w:rPr>
              <w:t>Rhythm</w:t>
            </w:r>
          </w:p>
        </w:tc>
        <w:tc>
          <w:tcPr>
            <w:tcW w:type="dxa" w:w="4997"/>
            <w:shd w:fill="195C4A"/>
            <w:tcMar>
              <w:top w:w="80" w:type="dxa"/>
              <w:start w:w="110" w:type="dxa"/>
              <w:bottom w:w="80" w:type="dxa"/>
              <w:end w:w="110" w:type="dxa"/>
            </w:tcMar>
          </w:tcPr>
          <w:p>
            <w:r>
              <w:rPr>
                <w:b/>
                <w:color w:val="FFFFFF"/>
              </w:rPr>
              <w:t>Practice</w:t>
            </w:r>
          </w:p>
        </w:tc>
      </w:tr>
      <w:tr>
        <w:tc>
          <w:tcPr>
            <w:tcW w:type="dxa" w:w="4997"/>
            <w:tcMar>
              <w:top w:w="80" w:type="dxa"/>
              <w:start w:w="110" w:type="dxa"/>
              <w:bottom w:w="80" w:type="dxa"/>
              <w:end w:w="110" w:type="dxa"/>
            </w:tcMar>
          </w:tcPr>
          <w:p>
            <w:r>
              <w:t>Before action</w:t>
            </w:r>
          </w:p>
        </w:tc>
        <w:tc>
          <w:tcPr>
            <w:tcW w:type="dxa" w:w="4997"/>
            <w:tcMar>
              <w:top w:w="80" w:type="dxa"/>
              <w:start w:w="110" w:type="dxa"/>
              <w:bottom w:w="80" w:type="dxa"/>
              <w:end w:w="110" w:type="dxa"/>
            </w:tcMar>
          </w:tcPr>
          <w:p>
            <w:r>
              <w:t>Check intention: Is this for Allah, duty and benefit, or for praise and advantage?</w:t>
            </w:r>
          </w:p>
        </w:tc>
      </w:tr>
      <w:tr>
        <w:tc>
          <w:tcPr>
            <w:tcW w:type="dxa" w:w="4997"/>
            <w:tcMar>
              <w:top w:w="80" w:type="dxa"/>
              <w:start w:w="110" w:type="dxa"/>
              <w:bottom w:w="80" w:type="dxa"/>
              <w:end w:w="110" w:type="dxa"/>
            </w:tcMar>
          </w:tcPr>
          <w:p>
            <w:r>
              <w:t>During action</w:t>
            </w:r>
          </w:p>
        </w:tc>
        <w:tc>
          <w:tcPr>
            <w:tcW w:type="dxa" w:w="4997"/>
            <w:tcMar>
              <w:top w:w="80" w:type="dxa"/>
              <w:start w:w="110" w:type="dxa"/>
              <w:bottom w:w="80" w:type="dxa"/>
              <w:end w:w="110" w:type="dxa"/>
            </w:tcMar>
          </w:tcPr>
          <w:p>
            <w:r>
              <w:t>Observe the heart. Pause when anger, envy, pride or desire begins to dominate.</w:t>
            </w:r>
          </w:p>
        </w:tc>
      </w:tr>
      <w:tr>
        <w:tc>
          <w:tcPr>
            <w:tcW w:type="dxa" w:w="4997"/>
            <w:tcMar>
              <w:top w:w="80" w:type="dxa"/>
              <w:start w:w="110" w:type="dxa"/>
              <w:bottom w:w="80" w:type="dxa"/>
              <w:end w:w="110" w:type="dxa"/>
            </w:tcMar>
          </w:tcPr>
          <w:p>
            <w:r>
              <w:t>After action</w:t>
            </w:r>
          </w:p>
        </w:tc>
        <w:tc>
          <w:tcPr>
            <w:tcW w:type="dxa" w:w="4997"/>
            <w:tcMar>
              <w:top w:w="80" w:type="dxa"/>
              <w:start w:w="110" w:type="dxa"/>
              <w:bottom w:w="80" w:type="dxa"/>
              <w:end w:w="110" w:type="dxa"/>
            </w:tcMar>
          </w:tcPr>
          <w:p>
            <w:r>
              <w:t>Avoid recounting good deeds unnecessarily. Thank Allah and seek forgiveness for shortcomings.</w:t>
            </w:r>
          </w:p>
        </w:tc>
      </w:tr>
      <w:tr>
        <w:tc>
          <w:tcPr>
            <w:tcW w:type="dxa" w:w="4997"/>
            <w:tcMar>
              <w:top w:w="80" w:type="dxa"/>
              <w:start w:w="110" w:type="dxa"/>
              <w:bottom w:w="80" w:type="dxa"/>
              <w:end w:w="110" w:type="dxa"/>
            </w:tcMar>
          </w:tcPr>
          <w:p>
            <w:r>
              <w:t>Daily</w:t>
            </w:r>
          </w:p>
        </w:tc>
        <w:tc>
          <w:tcPr>
            <w:tcW w:type="dxa" w:w="4997"/>
            <w:tcMar>
              <w:top w:w="80" w:type="dxa"/>
              <w:start w:w="110" w:type="dxa"/>
              <w:bottom w:w="80" w:type="dxa"/>
              <w:end w:w="110" w:type="dxa"/>
            </w:tcMar>
          </w:tcPr>
          <w:p>
            <w:r>
              <w:t>Moderate food, guard speech, give something, forgive someone and perform one hidden good deed.</w:t>
            </w:r>
          </w:p>
        </w:tc>
      </w:tr>
      <w:tr>
        <w:tc>
          <w:tcPr>
            <w:tcW w:type="dxa" w:w="4997"/>
            <w:tcMar>
              <w:top w:w="80" w:type="dxa"/>
              <w:start w:w="110" w:type="dxa"/>
              <w:bottom w:w="80" w:type="dxa"/>
              <w:end w:w="110" w:type="dxa"/>
            </w:tcMar>
          </w:tcPr>
          <w:p>
            <w:r>
              <w:t>Weekly</w:t>
            </w:r>
          </w:p>
        </w:tc>
        <w:tc>
          <w:tcPr>
            <w:tcW w:type="dxa" w:w="4997"/>
            <w:tcMar>
              <w:top w:w="80" w:type="dxa"/>
              <w:start w:w="110" w:type="dxa"/>
              <w:bottom w:w="80" w:type="dxa"/>
              <w:end w:w="110" w:type="dxa"/>
            </w:tcMar>
          </w:tcPr>
          <w:p>
            <w:r>
              <w:t>Review one recurring heart illness and design one behavioural counter-practice.</w:t>
            </w:r>
          </w:p>
        </w:tc>
      </w:tr>
    </w:tbl>
    <w:p>
      <w:pPr>
        <w:pStyle w:val="Heading1"/>
      </w:pPr>
      <w:r>
        <w:t>Closing summary</w:t>
      </w:r>
    </w:p>
    <w:p>
      <w:r>
        <w:t>Purification of the heart does not mean eliminating every natural impulse. Hunger, speech, anger, wealth, position and appreciation can serve good purposes. The goal is to bring each impulse under knowledge, reason, revelation and sincere intention. The strongest sign of progress is not a claim of purity, but greater humility, restraint, generosity, gratitude and consistency in hidden and visible deeds.</w:t>
      </w:r>
    </w:p>
    <w:p>
      <w:pPr>
        <w:pStyle w:val="Heading1"/>
      </w:pPr>
      <w:r>
        <w:t>Source note</w:t>
      </w:r>
    </w:p>
    <w:p>
      <w:r>
        <w:t>Primary reference: Penawar Bagi Hati_4755.pdf, Kitab Kedua, pp. 21–61 in the printed text. This document is a modern-language study summary, not a line-by-line transliteration or critical hadith edition. Quranic and hadith selections are retained or aligned with the themes cited in the reference. Hadith grading should be checked against specialist verified editions when used for formal teaching or publication.</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Updated study edition  |  </w:t>
    </w:r>
    <w:r>
      <w:rPr>
        <w:color w:val="6E6E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Chapter 2 | Purification of the Heart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95C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9D691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95C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Chapter 2: Purification of the Heart</dc:title>
  <dc:subject>Modern Malay summary of ten fasal from Penawar Bagi Hati</dc:subject>
  <dc:creator>Harith Hakim Khairul Nizam</dc:creator>
  <keywords/>
  <dc:description>generated by python-docx</dc:description>
  <lastModifiedBy>Harith Hakim Khairul Nizam</lastModifiedBy>
  <revision>1</revision>
  <dcterms:created xsi:type="dcterms:W3CDTF">2026-09-25T07:26:03.3055849Z</dcterms:created>
  <dcterms:modified xsi:type="dcterms:W3CDTF">2026-09-25T07:26:03.3055849Z</dcterms:modified>
  <category/>
</coreProperties>
</file>