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5BFBD" w14:textId="77777777" w:rsidR="00551E84" w:rsidRDefault="00F34CBF">
      <w:pPr>
        <w:pStyle w:val="Title"/>
        <w:rPr>
          <w:u w:val="none"/>
        </w:rPr>
      </w:pPr>
      <w:r>
        <w:rPr>
          <w:u w:val="thick"/>
        </w:rPr>
        <w:t>Template 3: Risk Record</w:t>
      </w:r>
    </w:p>
    <w:p w14:paraId="0CB98889" w14:textId="77777777" w:rsidR="00551E84" w:rsidRDefault="00551E84">
      <w:pPr>
        <w:pStyle w:val="BodyText"/>
        <w:spacing w:before="5"/>
        <w:ind w:firstLine="0"/>
        <w:rPr>
          <w:b/>
          <w:sz w:val="24"/>
        </w:rPr>
      </w:pPr>
    </w:p>
    <w:p w14:paraId="44B79F33" w14:textId="77777777" w:rsidR="00551E84" w:rsidRDefault="00F34CBF">
      <w:pPr>
        <w:pStyle w:val="BodyText"/>
        <w:spacing w:before="56" w:line="276" w:lineRule="auto"/>
        <w:ind w:left="220" w:right="245"/>
      </w:pPr>
      <w:r>
        <w:t>Completing the riskiness index in Template 1 provided the organization with an overview of its risk profile. Completion of a risk record for each significant risk will result in the production of a risk register for the organization. This will provide information on the specific risks faced by the organization that could have a significant impact on its success. Completion of this template for each significant risk will require the analysis of significant risks to the finances, infrastructure, reputation and marketplace.</w:t>
      </w:r>
    </w:p>
    <w:p w14:paraId="5363408B" w14:textId="77777777" w:rsidR="00551E84" w:rsidRDefault="00551E84">
      <w:pPr>
        <w:pStyle w:val="BodyText"/>
        <w:spacing w:before="3"/>
        <w:ind w:firstLine="0"/>
        <w:rPr>
          <w:sz w:val="25"/>
        </w:rPr>
      </w:pPr>
    </w:p>
    <w:p w14:paraId="21AFE63F" w14:textId="77777777" w:rsidR="00551E84" w:rsidRDefault="00F34CBF">
      <w:pPr>
        <w:pStyle w:val="BodyText"/>
        <w:spacing w:before="1" w:line="276" w:lineRule="auto"/>
        <w:ind w:left="221" w:right="287"/>
      </w:pPr>
      <w:r>
        <w:t>The table below should be completed on a risk by risk basis to record details of the risk events that have been identified that could have a significant impact on the organization. Identification of these risks can be based on a consideration of the objectives of the organization and/or the features that must be present for the organization to be successful. These features are often referred to as key dependencies. In other words, risk identification can start with a review of the objectives and/or the key dependencies for the organization.</w:t>
      </w:r>
    </w:p>
    <w:p w14:paraId="7420B8E1" w14:textId="77777777" w:rsidR="00551E84" w:rsidRDefault="00551E84">
      <w:pPr>
        <w:pStyle w:val="BodyText"/>
        <w:ind w:firstLine="0"/>
        <w:rPr>
          <w:sz w:val="26"/>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82"/>
      </w:tblGrid>
      <w:tr w:rsidR="00551E84" w14:paraId="05803D76" w14:textId="77777777">
        <w:trPr>
          <w:trHeight w:val="582"/>
        </w:trPr>
        <w:tc>
          <w:tcPr>
            <w:tcW w:w="9242" w:type="dxa"/>
            <w:gridSpan w:val="2"/>
          </w:tcPr>
          <w:p w14:paraId="26618035" w14:textId="77777777" w:rsidR="00551E84" w:rsidRDefault="00F34CBF">
            <w:pPr>
              <w:pStyle w:val="TableParagraph"/>
              <w:spacing w:before="119"/>
              <w:ind w:left="2808" w:right="2799"/>
              <w:jc w:val="center"/>
              <w:rPr>
                <w:b/>
                <w:sz w:val="28"/>
              </w:rPr>
            </w:pPr>
            <w:r>
              <w:rPr>
                <w:b/>
                <w:sz w:val="28"/>
              </w:rPr>
              <w:t>Risk record of potential impact</w:t>
            </w:r>
          </w:p>
        </w:tc>
      </w:tr>
      <w:tr w:rsidR="00551E84" w14:paraId="58E06E2A" w14:textId="77777777">
        <w:trPr>
          <w:trHeight w:val="2107"/>
        </w:trPr>
        <w:tc>
          <w:tcPr>
            <w:tcW w:w="2660" w:type="dxa"/>
          </w:tcPr>
          <w:p w14:paraId="23C280EE" w14:textId="77777777" w:rsidR="00551E84" w:rsidRDefault="00F34CBF">
            <w:pPr>
              <w:pStyle w:val="TableParagraph"/>
              <w:spacing w:before="119" w:line="276" w:lineRule="auto"/>
              <w:ind w:left="107" w:right="1250"/>
            </w:pPr>
            <w:r>
              <w:t>Risk reference (see note 1)</w:t>
            </w:r>
          </w:p>
        </w:tc>
        <w:tc>
          <w:tcPr>
            <w:tcW w:w="6582" w:type="dxa"/>
          </w:tcPr>
          <w:p w14:paraId="7904AE3F" w14:textId="77777777" w:rsidR="00792ABA" w:rsidRDefault="00792ABA" w:rsidP="00792ABA">
            <w:pPr>
              <w:pStyle w:val="ListParagraph"/>
              <w:numPr>
                <w:ilvl w:val="0"/>
                <w:numId w:val="1"/>
              </w:numPr>
              <w:tabs>
                <w:tab w:val="left" w:pos="437"/>
              </w:tabs>
              <w:spacing w:before="39" w:line="276" w:lineRule="auto"/>
              <w:ind w:right="786" w:hanging="1"/>
            </w:pPr>
            <w:r>
              <w:t>Unique identifier should be assigned to each risk. For ease of reference and unambiguous identification</w:t>
            </w:r>
            <w:r>
              <w:rPr>
                <w:spacing w:val="-3"/>
              </w:rPr>
              <w:t xml:space="preserve"> </w:t>
            </w:r>
            <w:r>
              <w:t>of</w:t>
            </w:r>
            <w:r>
              <w:rPr>
                <w:spacing w:val="-3"/>
              </w:rPr>
              <w:t xml:space="preserve"> </w:t>
            </w:r>
            <w:r>
              <w:t>risk,</w:t>
            </w:r>
            <w:r>
              <w:rPr>
                <w:spacing w:val="-3"/>
              </w:rPr>
              <w:t xml:space="preserve"> </w:t>
            </w:r>
            <w:r>
              <w:t>the</w:t>
            </w:r>
            <w:r>
              <w:rPr>
                <w:spacing w:val="-3"/>
              </w:rPr>
              <w:t xml:space="preserve"> </w:t>
            </w:r>
            <w:r>
              <w:t>risk</w:t>
            </w:r>
            <w:r>
              <w:rPr>
                <w:spacing w:val="-3"/>
              </w:rPr>
              <w:t xml:space="preserve"> </w:t>
            </w:r>
            <w:r>
              <w:t>reference</w:t>
            </w:r>
            <w:r>
              <w:rPr>
                <w:spacing w:val="-3"/>
              </w:rPr>
              <w:t xml:space="preserve"> </w:t>
            </w:r>
            <w:r>
              <w:t>assigned</w:t>
            </w:r>
            <w:r>
              <w:rPr>
                <w:spacing w:val="-3"/>
              </w:rPr>
              <w:t xml:space="preserve"> </w:t>
            </w:r>
            <w:r>
              <w:t>can</w:t>
            </w:r>
            <w:r>
              <w:rPr>
                <w:spacing w:val="-2"/>
              </w:rPr>
              <w:t xml:space="preserve"> </w:t>
            </w:r>
            <w:r>
              <w:t>also</w:t>
            </w:r>
            <w:r>
              <w:rPr>
                <w:spacing w:val="-3"/>
              </w:rPr>
              <w:t xml:space="preserve"> </w:t>
            </w:r>
            <w:r>
              <w:t>be</w:t>
            </w:r>
            <w:r>
              <w:rPr>
                <w:spacing w:val="-3"/>
              </w:rPr>
              <w:t xml:space="preserve"> </w:t>
            </w:r>
            <w:r>
              <w:t>used to</w:t>
            </w:r>
            <w:r>
              <w:rPr>
                <w:spacing w:val="-3"/>
              </w:rPr>
              <w:t xml:space="preserve"> </w:t>
            </w:r>
            <w:r>
              <w:t>indicate</w:t>
            </w:r>
            <w:r>
              <w:rPr>
                <w:spacing w:val="-1"/>
              </w:rPr>
              <w:t xml:space="preserve"> </w:t>
            </w:r>
            <w:r>
              <w:t>the</w:t>
            </w:r>
            <w:r>
              <w:rPr>
                <w:spacing w:val="-3"/>
              </w:rPr>
              <w:t xml:space="preserve"> </w:t>
            </w:r>
            <w:r>
              <w:t>nature</w:t>
            </w:r>
            <w:r>
              <w:rPr>
                <w:spacing w:val="-3"/>
              </w:rPr>
              <w:t xml:space="preserve"> </w:t>
            </w:r>
            <w:r>
              <w:t>and/or location of the</w:t>
            </w:r>
            <w:r>
              <w:rPr>
                <w:spacing w:val="-4"/>
              </w:rPr>
              <w:t xml:space="preserve"> </w:t>
            </w:r>
            <w:r>
              <w:t>risk.</w:t>
            </w:r>
          </w:p>
          <w:p w14:paraId="77D8F29D" w14:textId="77777777" w:rsidR="00551E84" w:rsidRDefault="00551E84">
            <w:pPr>
              <w:pStyle w:val="TableParagraph"/>
              <w:rPr>
                <w:rFonts w:ascii="Times New Roman"/>
              </w:rPr>
            </w:pPr>
          </w:p>
        </w:tc>
      </w:tr>
      <w:tr w:rsidR="00551E84" w14:paraId="71A21542" w14:textId="77777777">
        <w:trPr>
          <w:trHeight w:val="2109"/>
        </w:trPr>
        <w:tc>
          <w:tcPr>
            <w:tcW w:w="2660" w:type="dxa"/>
          </w:tcPr>
          <w:p w14:paraId="34EF2849" w14:textId="77777777" w:rsidR="00551E84" w:rsidRDefault="00F34CBF">
            <w:pPr>
              <w:pStyle w:val="TableParagraph"/>
              <w:spacing w:before="120" w:line="276" w:lineRule="auto"/>
              <w:ind w:left="108" w:right="1304" w:hanging="1"/>
            </w:pPr>
            <w:r>
              <w:t>Nature of risk (see note 2)</w:t>
            </w:r>
          </w:p>
        </w:tc>
        <w:tc>
          <w:tcPr>
            <w:tcW w:w="6582" w:type="dxa"/>
          </w:tcPr>
          <w:p w14:paraId="7B065F6C" w14:textId="77777777" w:rsidR="00792ABA" w:rsidRDefault="00792ABA" w:rsidP="00792ABA">
            <w:pPr>
              <w:pStyle w:val="ListParagraph"/>
              <w:numPr>
                <w:ilvl w:val="0"/>
                <w:numId w:val="1"/>
              </w:numPr>
              <w:tabs>
                <w:tab w:val="left" w:pos="437"/>
              </w:tabs>
              <w:spacing w:before="1" w:line="276" w:lineRule="auto"/>
              <w:ind w:right="419"/>
            </w:pPr>
            <w:r>
              <w:t>Description of the risk event and how it might be caused or triggered, including information or data on previous experiences with a related risk event, both within the organization and in relation to similar events that have affected</w:t>
            </w:r>
            <w:r>
              <w:rPr>
                <w:spacing w:val="-4"/>
              </w:rPr>
              <w:t xml:space="preserve"> </w:t>
            </w:r>
            <w:r>
              <w:t>competitors.</w:t>
            </w:r>
          </w:p>
          <w:p w14:paraId="55E948FE" w14:textId="77777777" w:rsidR="00551E84" w:rsidRDefault="00551E84">
            <w:pPr>
              <w:pStyle w:val="TableParagraph"/>
              <w:rPr>
                <w:rFonts w:ascii="Times New Roman"/>
              </w:rPr>
            </w:pPr>
          </w:p>
        </w:tc>
      </w:tr>
      <w:tr w:rsidR="00551E84" w14:paraId="00EA66C3" w14:textId="77777777">
        <w:trPr>
          <w:trHeight w:val="2109"/>
        </w:trPr>
        <w:tc>
          <w:tcPr>
            <w:tcW w:w="2660" w:type="dxa"/>
          </w:tcPr>
          <w:p w14:paraId="72166EC6" w14:textId="77777777" w:rsidR="00551E84" w:rsidRDefault="00F34CBF">
            <w:pPr>
              <w:pStyle w:val="TableParagraph"/>
              <w:spacing w:before="119" w:line="276" w:lineRule="auto"/>
              <w:ind w:left="107" w:right="1050"/>
            </w:pPr>
            <w:r>
              <w:t>Potential impact (see note 3)</w:t>
            </w:r>
          </w:p>
        </w:tc>
        <w:tc>
          <w:tcPr>
            <w:tcW w:w="6582" w:type="dxa"/>
          </w:tcPr>
          <w:p w14:paraId="447FC121" w14:textId="77777777" w:rsidR="00792ABA" w:rsidRDefault="00792ABA" w:rsidP="00792ABA">
            <w:pPr>
              <w:pStyle w:val="ListParagraph"/>
              <w:numPr>
                <w:ilvl w:val="0"/>
                <w:numId w:val="1"/>
              </w:numPr>
              <w:tabs>
                <w:tab w:val="left" w:pos="438"/>
              </w:tabs>
              <w:spacing w:line="276" w:lineRule="auto"/>
              <w:ind w:right="295"/>
            </w:pPr>
            <w:r>
              <w:t>Analysis of the potential impact on the finances, infrastructure, reputation and/or marketplace, in terms of the likelihood and magnitude of the risk event and the relationship to objectives and key dependencies.</w:t>
            </w:r>
          </w:p>
          <w:p w14:paraId="61A48E0D" w14:textId="77777777" w:rsidR="00551E84" w:rsidRDefault="00551E84">
            <w:pPr>
              <w:pStyle w:val="TableParagraph"/>
              <w:rPr>
                <w:rFonts w:ascii="Times New Roman"/>
              </w:rPr>
            </w:pPr>
          </w:p>
        </w:tc>
      </w:tr>
    </w:tbl>
    <w:p w14:paraId="3B74F8BE" w14:textId="77777777" w:rsidR="00551E84" w:rsidRDefault="00551E84">
      <w:pPr>
        <w:rPr>
          <w:rFonts w:ascii="Times New Roman"/>
        </w:rPr>
        <w:sectPr w:rsidR="00551E84">
          <w:type w:val="continuous"/>
          <w:pgSz w:w="11900" w:h="16840"/>
          <w:pgMar w:top="1400" w:right="120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82"/>
      </w:tblGrid>
      <w:tr w:rsidR="00551E84" w14:paraId="3C3D9F23" w14:textId="77777777">
        <w:trPr>
          <w:trHeight w:val="2109"/>
        </w:trPr>
        <w:tc>
          <w:tcPr>
            <w:tcW w:w="2660" w:type="dxa"/>
          </w:tcPr>
          <w:p w14:paraId="117769D1" w14:textId="77777777" w:rsidR="00551E84" w:rsidRDefault="00F34CBF">
            <w:pPr>
              <w:pStyle w:val="TableParagraph"/>
              <w:spacing w:before="119" w:line="276" w:lineRule="auto"/>
              <w:ind w:left="108" w:right="727" w:hanging="1"/>
            </w:pPr>
            <w:r>
              <w:lastRenderedPageBreak/>
              <w:t>Tolerability of event (see note 4)</w:t>
            </w:r>
          </w:p>
        </w:tc>
        <w:tc>
          <w:tcPr>
            <w:tcW w:w="6582" w:type="dxa"/>
          </w:tcPr>
          <w:p w14:paraId="614F8A98" w14:textId="77777777" w:rsidR="00792ABA" w:rsidRDefault="00792ABA" w:rsidP="00792ABA">
            <w:pPr>
              <w:pStyle w:val="ListParagraph"/>
              <w:numPr>
                <w:ilvl w:val="0"/>
                <w:numId w:val="1"/>
              </w:numPr>
              <w:tabs>
                <w:tab w:val="left" w:pos="440"/>
              </w:tabs>
              <w:spacing w:line="276" w:lineRule="auto"/>
            </w:pPr>
            <w:r>
              <w:t>Decision on whether the level of risk identified during the analysis is tolerable for the organization, including consideration of the controllability of the risks and the nature of the business imperative associated with the</w:t>
            </w:r>
            <w:r>
              <w:rPr>
                <w:spacing w:val="-1"/>
              </w:rPr>
              <w:t xml:space="preserve"> </w:t>
            </w:r>
            <w:r>
              <w:t>risk.</w:t>
            </w:r>
          </w:p>
          <w:p w14:paraId="2D233F3C" w14:textId="77777777" w:rsidR="00551E84" w:rsidRDefault="00551E84">
            <w:pPr>
              <w:pStyle w:val="TableParagraph"/>
              <w:rPr>
                <w:rFonts w:ascii="Times New Roman"/>
                <w:sz w:val="20"/>
              </w:rPr>
            </w:pPr>
          </w:p>
        </w:tc>
      </w:tr>
      <w:tr w:rsidR="00551E84" w14:paraId="7B233E5D" w14:textId="77777777">
        <w:trPr>
          <w:trHeight w:val="2109"/>
        </w:trPr>
        <w:tc>
          <w:tcPr>
            <w:tcW w:w="2660" w:type="dxa"/>
          </w:tcPr>
          <w:p w14:paraId="230EE05A" w14:textId="77777777" w:rsidR="00551E84" w:rsidRDefault="00F34CBF">
            <w:pPr>
              <w:pStyle w:val="TableParagraph"/>
              <w:spacing w:before="119" w:line="276" w:lineRule="auto"/>
              <w:ind w:left="108" w:right="1063" w:hanging="1"/>
            </w:pPr>
            <w:r>
              <w:t>Existing controls (see note 5)</w:t>
            </w:r>
          </w:p>
        </w:tc>
        <w:tc>
          <w:tcPr>
            <w:tcW w:w="6582" w:type="dxa"/>
          </w:tcPr>
          <w:p w14:paraId="26493DF4" w14:textId="77777777" w:rsidR="00792ABA" w:rsidRDefault="00792ABA" w:rsidP="00792ABA">
            <w:pPr>
              <w:pStyle w:val="ListParagraph"/>
              <w:numPr>
                <w:ilvl w:val="0"/>
                <w:numId w:val="1"/>
              </w:numPr>
              <w:tabs>
                <w:tab w:val="left" w:pos="442"/>
              </w:tabs>
              <w:spacing w:line="276" w:lineRule="auto"/>
              <w:ind w:right="360"/>
            </w:pPr>
            <w:r>
              <w:t>Mitigation</w:t>
            </w:r>
            <w:r>
              <w:rPr>
                <w:spacing w:val="-3"/>
              </w:rPr>
              <w:t xml:space="preserve"> </w:t>
            </w:r>
            <w:r>
              <w:t>currently</w:t>
            </w:r>
            <w:r>
              <w:rPr>
                <w:spacing w:val="-3"/>
              </w:rPr>
              <w:t xml:space="preserve"> </w:t>
            </w:r>
            <w:r>
              <w:t>in</w:t>
            </w:r>
            <w:r>
              <w:rPr>
                <w:spacing w:val="-2"/>
              </w:rPr>
              <w:t xml:space="preserve"> </w:t>
            </w:r>
            <w:r>
              <w:t>place</w:t>
            </w:r>
            <w:r>
              <w:rPr>
                <w:spacing w:val="-3"/>
              </w:rPr>
              <w:t xml:space="preserve"> </w:t>
            </w:r>
            <w:r>
              <w:t>and</w:t>
            </w:r>
            <w:r>
              <w:rPr>
                <w:spacing w:val="-3"/>
              </w:rPr>
              <w:t xml:space="preserve"> </w:t>
            </w:r>
            <w:r>
              <w:t>standard</w:t>
            </w:r>
            <w:r>
              <w:rPr>
                <w:spacing w:val="-3"/>
              </w:rPr>
              <w:t xml:space="preserve"> </w:t>
            </w:r>
            <w:r>
              <w:t>of</w:t>
            </w:r>
            <w:r>
              <w:rPr>
                <w:spacing w:val="-3"/>
              </w:rPr>
              <w:t xml:space="preserve"> </w:t>
            </w:r>
            <w:r>
              <w:t>risk</w:t>
            </w:r>
            <w:r>
              <w:rPr>
                <w:spacing w:val="-2"/>
              </w:rPr>
              <w:t xml:space="preserve"> </w:t>
            </w:r>
            <w:r>
              <w:t>control</w:t>
            </w:r>
            <w:r>
              <w:rPr>
                <w:spacing w:val="-3"/>
              </w:rPr>
              <w:t xml:space="preserve"> </w:t>
            </w:r>
            <w:r>
              <w:t>that</w:t>
            </w:r>
            <w:r>
              <w:rPr>
                <w:spacing w:val="-3"/>
              </w:rPr>
              <w:t xml:space="preserve"> </w:t>
            </w:r>
            <w:r>
              <w:t>is</w:t>
            </w:r>
            <w:r>
              <w:rPr>
                <w:spacing w:val="-2"/>
              </w:rPr>
              <w:t xml:space="preserve"> </w:t>
            </w:r>
            <w:r>
              <w:t>achieved</w:t>
            </w:r>
            <w:r>
              <w:rPr>
                <w:spacing w:val="-2"/>
              </w:rPr>
              <w:t xml:space="preserve"> </w:t>
            </w:r>
            <w:r>
              <w:t>by</w:t>
            </w:r>
            <w:r>
              <w:rPr>
                <w:spacing w:val="-1"/>
              </w:rPr>
              <w:t xml:space="preserve"> </w:t>
            </w:r>
            <w:r>
              <w:t>the</w:t>
            </w:r>
            <w:r>
              <w:rPr>
                <w:spacing w:val="-3"/>
              </w:rPr>
              <w:t xml:space="preserve"> </w:t>
            </w:r>
            <w:r>
              <w:t>existing</w:t>
            </w:r>
            <w:r>
              <w:rPr>
                <w:spacing w:val="-2"/>
              </w:rPr>
              <w:t xml:space="preserve"> </w:t>
            </w:r>
            <w:r>
              <w:t>controls, compared with the level of risk that is required, including consideration of the efficiency and effectiveness of existing controls as well as regulatory</w:t>
            </w:r>
            <w:r>
              <w:rPr>
                <w:spacing w:val="-7"/>
              </w:rPr>
              <w:t xml:space="preserve"> </w:t>
            </w:r>
            <w:r>
              <w:t>requirements.</w:t>
            </w:r>
          </w:p>
          <w:p w14:paraId="0CC19FFC" w14:textId="77777777" w:rsidR="00551E84" w:rsidRDefault="00551E84">
            <w:pPr>
              <w:pStyle w:val="TableParagraph"/>
              <w:rPr>
                <w:rFonts w:ascii="Times New Roman"/>
                <w:sz w:val="20"/>
              </w:rPr>
            </w:pPr>
          </w:p>
        </w:tc>
      </w:tr>
    </w:tbl>
    <w:p w14:paraId="121C825B" w14:textId="77777777" w:rsidR="00551E84" w:rsidRDefault="00551E84">
      <w:pPr>
        <w:pStyle w:val="BodyText"/>
        <w:ind w:firstLine="0"/>
        <w:rPr>
          <w:sz w:val="17"/>
        </w:rPr>
      </w:pPr>
    </w:p>
    <w:sectPr w:rsidR="00551E84">
      <w:pgSz w:w="11900" w:h="16840"/>
      <w:pgMar w:top="1440" w:right="120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E921ED"/>
    <w:multiLevelType w:val="hybridMultilevel"/>
    <w:tmpl w:val="C2500A4A"/>
    <w:lvl w:ilvl="0" w:tplc="1DB650CA">
      <w:start w:val="1"/>
      <w:numFmt w:val="decimal"/>
      <w:lvlText w:val="%1."/>
      <w:lvlJc w:val="left"/>
      <w:pPr>
        <w:ind w:left="220" w:hanging="217"/>
      </w:pPr>
      <w:rPr>
        <w:rFonts w:ascii="Calibri" w:eastAsia="Calibri" w:hAnsi="Calibri" w:cs="Calibri" w:hint="default"/>
        <w:w w:val="99"/>
        <w:sz w:val="22"/>
        <w:szCs w:val="22"/>
      </w:rPr>
    </w:lvl>
    <w:lvl w:ilvl="1" w:tplc="BE42A008">
      <w:numFmt w:val="bullet"/>
      <w:lvlText w:val="•"/>
      <w:lvlJc w:val="left"/>
      <w:pPr>
        <w:ind w:left="1146" w:hanging="217"/>
      </w:pPr>
      <w:rPr>
        <w:rFonts w:hint="default"/>
      </w:rPr>
    </w:lvl>
    <w:lvl w:ilvl="2" w:tplc="CB6ED248">
      <w:numFmt w:val="bullet"/>
      <w:lvlText w:val="•"/>
      <w:lvlJc w:val="left"/>
      <w:pPr>
        <w:ind w:left="2072" w:hanging="217"/>
      </w:pPr>
      <w:rPr>
        <w:rFonts w:hint="default"/>
      </w:rPr>
    </w:lvl>
    <w:lvl w:ilvl="3" w:tplc="A19A42BA">
      <w:numFmt w:val="bullet"/>
      <w:lvlText w:val="•"/>
      <w:lvlJc w:val="left"/>
      <w:pPr>
        <w:ind w:left="2998" w:hanging="217"/>
      </w:pPr>
      <w:rPr>
        <w:rFonts w:hint="default"/>
      </w:rPr>
    </w:lvl>
    <w:lvl w:ilvl="4" w:tplc="625E0E32">
      <w:numFmt w:val="bullet"/>
      <w:lvlText w:val="•"/>
      <w:lvlJc w:val="left"/>
      <w:pPr>
        <w:ind w:left="3924" w:hanging="217"/>
      </w:pPr>
      <w:rPr>
        <w:rFonts w:hint="default"/>
      </w:rPr>
    </w:lvl>
    <w:lvl w:ilvl="5" w:tplc="FE56B9AA">
      <w:numFmt w:val="bullet"/>
      <w:lvlText w:val="•"/>
      <w:lvlJc w:val="left"/>
      <w:pPr>
        <w:ind w:left="4850" w:hanging="217"/>
      </w:pPr>
      <w:rPr>
        <w:rFonts w:hint="default"/>
      </w:rPr>
    </w:lvl>
    <w:lvl w:ilvl="6" w:tplc="40B4AE06">
      <w:numFmt w:val="bullet"/>
      <w:lvlText w:val="•"/>
      <w:lvlJc w:val="left"/>
      <w:pPr>
        <w:ind w:left="5776" w:hanging="217"/>
      </w:pPr>
      <w:rPr>
        <w:rFonts w:hint="default"/>
      </w:rPr>
    </w:lvl>
    <w:lvl w:ilvl="7" w:tplc="BE1483F6">
      <w:numFmt w:val="bullet"/>
      <w:lvlText w:val="•"/>
      <w:lvlJc w:val="left"/>
      <w:pPr>
        <w:ind w:left="6702" w:hanging="217"/>
      </w:pPr>
      <w:rPr>
        <w:rFonts w:hint="default"/>
      </w:rPr>
    </w:lvl>
    <w:lvl w:ilvl="8" w:tplc="196EF0BA">
      <w:numFmt w:val="bullet"/>
      <w:lvlText w:val="•"/>
      <w:lvlJc w:val="left"/>
      <w:pPr>
        <w:ind w:left="7628" w:hanging="217"/>
      </w:pPr>
      <w:rPr>
        <w:rFonts w:hint="default"/>
      </w:rPr>
    </w:lvl>
  </w:abstractNum>
  <w:abstractNum w:abstractNumId="1" w15:restartNumberingAfterBreak="0">
    <w:nsid w:val="4B746B20"/>
    <w:multiLevelType w:val="hybridMultilevel"/>
    <w:tmpl w:val="5E765FEA"/>
    <w:lvl w:ilvl="0" w:tplc="FFFFFFFF">
      <w:start w:val="1"/>
      <w:numFmt w:val="decimal"/>
      <w:lvlText w:val="%1."/>
      <w:lvlJc w:val="left"/>
      <w:pPr>
        <w:ind w:left="220" w:hanging="217"/>
      </w:pPr>
      <w:rPr>
        <w:rFonts w:ascii="Calibri" w:eastAsia="Calibri" w:hAnsi="Calibri" w:cs="Calibri" w:hint="default"/>
        <w:w w:val="99"/>
        <w:sz w:val="22"/>
        <w:szCs w:val="22"/>
      </w:rPr>
    </w:lvl>
    <w:lvl w:ilvl="1" w:tplc="FFFFFFFF">
      <w:numFmt w:val="bullet"/>
      <w:lvlText w:val="•"/>
      <w:lvlJc w:val="left"/>
      <w:pPr>
        <w:ind w:left="1146" w:hanging="217"/>
      </w:pPr>
      <w:rPr>
        <w:rFonts w:hint="default"/>
      </w:rPr>
    </w:lvl>
    <w:lvl w:ilvl="2" w:tplc="FFFFFFFF">
      <w:numFmt w:val="bullet"/>
      <w:lvlText w:val="•"/>
      <w:lvlJc w:val="left"/>
      <w:pPr>
        <w:ind w:left="2072" w:hanging="217"/>
      </w:pPr>
      <w:rPr>
        <w:rFonts w:hint="default"/>
      </w:rPr>
    </w:lvl>
    <w:lvl w:ilvl="3" w:tplc="FFFFFFFF">
      <w:numFmt w:val="bullet"/>
      <w:lvlText w:val="•"/>
      <w:lvlJc w:val="left"/>
      <w:pPr>
        <w:ind w:left="2998" w:hanging="217"/>
      </w:pPr>
      <w:rPr>
        <w:rFonts w:hint="default"/>
      </w:rPr>
    </w:lvl>
    <w:lvl w:ilvl="4" w:tplc="FFFFFFFF">
      <w:numFmt w:val="bullet"/>
      <w:lvlText w:val="•"/>
      <w:lvlJc w:val="left"/>
      <w:pPr>
        <w:ind w:left="3924" w:hanging="217"/>
      </w:pPr>
      <w:rPr>
        <w:rFonts w:hint="default"/>
      </w:rPr>
    </w:lvl>
    <w:lvl w:ilvl="5" w:tplc="FFFFFFFF">
      <w:numFmt w:val="bullet"/>
      <w:lvlText w:val="•"/>
      <w:lvlJc w:val="left"/>
      <w:pPr>
        <w:ind w:left="4850" w:hanging="217"/>
      </w:pPr>
      <w:rPr>
        <w:rFonts w:hint="default"/>
      </w:rPr>
    </w:lvl>
    <w:lvl w:ilvl="6" w:tplc="FFFFFFFF">
      <w:numFmt w:val="bullet"/>
      <w:lvlText w:val="•"/>
      <w:lvlJc w:val="left"/>
      <w:pPr>
        <w:ind w:left="5776" w:hanging="217"/>
      </w:pPr>
      <w:rPr>
        <w:rFonts w:hint="default"/>
      </w:rPr>
    </w:lvl>
    <w:lvl w:ilvl="7" w:tplc="FFFFFFFF">
      <w:numFmt w:val="bullet"/>
      <w:lvlText w:val="•"/>
      <w:lvlJc w:val="left"/>
      <w:pPr>
        <w:ind w:left="6702" w:hanging="217"/>
      </w:pPr>
      <w:rPr>
        <w:rFonts w:hint="default"/>
      </w:rPr>
    </w:lvl>
    <w:lvl w:ilvl="8" w:tplc="FFFFFFFF">
      <w:numFmt w:val="bullet"/>
      <w:lvlText w:val="•"/>
      <w:lvlJc w:val="left"/>
      <w:pPr>
        <w:ind w:left="7628" w:hanging="217"/>
      </w:pPr>
      <w:rPr>
        <w:rFonts w:hint="default"/>
      </w:rPr>
    </w:lvl>
  </w:abstractNum>
  <w:num w:numId="1" w16cid:durableId="328337031">
    <w:abstractNumId w:val="0"/>
  </w:num>
  <w:num w:numId="2" w16cid:durableId="131680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E84"/>
    <w:rsid w:val="00551E84"/>
    <w:rsid w:val="00792ABA"/>
    <w:rsid w:val="00F34CBF"/>
  </w:rsids>
  <m:mathPr>
    <m:mathFont m:val="Cambria Math"/>
    <m:brkBin m:val="before"/>
    <m:brkBinSub m:val="--"/>
    <m:smallFrac m:val="0"/>
    <m:dispDef/>
    <m:lMargin m:val="0"/>
    <m:rMargin m:val="0"/>
    <m:defJc m:val="centerGroup"/>
    <m:wrapIndent m:val="1440"/>
    <m:intLim m:val="subSup"/>
    <m:naryLim m:val="undOvr"/>
  </m:mathPr>
  <w:themeFontLang w:val="en-02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38D2E"/>
  <w15:docId w15:val="{D04B89A4-875E-4997-9CCF-A766C2934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1"/>
    </w:pPr>
  </w:style>
  <w:style w:type="paragraph" w:styleId="Title">
    <w:name w:val="Title"/>
    <w:basedOn w:val="Normal"/>
    <w:uiPriority w:val="10"/>
    <w:qFormat/>
    <w:pPr>
      <w:spacing w:before="38"/>
      <w:ind w:left="220"/>
    </w:pPr>
    <w:rPr>
      <w:b/>
      <w:bCs/>
      <w:sz w:val="24"/>
      <w:szCs w:val="24"/>
      <w:u w:val="single" w:color="000000"/>
    </w:rPr>
  </w:style>
  <w:style w:type="paragraph" w:styleId="ListParagraph">
    <w:name w:val="List Paragraph"/>
    <w:basedOn w:val="Normal"/>
    <w:uiPriority w:val="1"/>
    <w:qFormat/>
    <w:pPr>
      <w:ind w:left="220" w:right="272" w:hanging="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chriscox</dc:creator>
  <cp:lastModifiedBy>David Purves</cp:lastModifiedBy>
  <cp:revision>3</cp:revision>
  <dcterms:created xsi:type="dcterms:W3CDTF">2020-11-21T16:21:00Z</dcterms:created>
  <dcterms:modified xsi:type="dcterms:W3CDTF">2022-07-11T16:19:00Z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2013-03-06T00:00:00Z</vt:filetime>
  </property>
  <property fmtid="{D5CDD505-2E9C-101B-9397-08002B2CF9AE}" pid="3" name="Creator">
    <vt:lpwstr>Acrobat PDFMaker 8.1 for Word</vt:lpwstr>
  </property>
  <property fmtid="{D5CDD505-2E9C-101B-9397-08002B2CF9AE}" pid="4" name="LastSaved">
    <vt:filetime>2020-11-21T00:00:00Z</vt:filetime>
  </property>
</Properties>
</file>