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D719" w14:textId="77777777" w:rsidR="00EC4C8F" w:rsidRDefault="00112E92">
      <w:pPr>
        <w:pStyle w:val="Title"/>
      </w:pPr>
      <w:r>
        <w:t>Risk management context</w:t>
      </w:r>
    </w:p>
    <w:p w14:paraId="30659401" w14:textId="77777777" w:rsidR="00EC4C8F" w:rsidRDefault="00112E92">
      <w:pPr>
        <w:pStyle w:val="Heading1"/>
      </w:pPr>
      <w:r>
        <w:t>Overview</w:t>
      </w:r>
    </w:p>
    <w:p w14:paraId="313A2E79" w14:textId="7E079540" w:rsidR="00805F3F" w:rsidRPr="00805F3F" w:rsidRDefault="00112E92">
      <w:r w:rsidRPr="00805F3F">
        <w:t xml:space="preserve">ITrustU is a multi-product insurance company operating in Ontario, Canada, with just over 50 employees across different functions. We are part of the Tiva insurance group and provide insurance and pension products to individuals and small businesses. Membership in Tiva may provide access to additional expertise or resources, although the availability of that support requires confirmation. Our small workforce supports a substantial customer base, and our operations depend on technology and third-party services. Our operations include policy sales, premium collection, claims processing, customer account management, and </w:t>
      </w:r>
      <w:r w:rsidR="00805F3F" w:rsidRPr="00805F3F">
        <w:t>investment</w:t>
      </w:r>
      <w:r w:rsidRPr="00805F3F">
        <w:t xml:space="preserve"> of premiums to support operating costs and policyholder obligations. </w:t>
      </w:r>
    </w:p>
    <w:p w14:paraId="43EBAD80" w14:textId="3CDC2190" w:rsidR="00EC4C8F" w:rsidRPr="00805F3F" w:rsidRDefault="00112E92">
      <w:r w:rsidRPr="00805F3F">
        <w:t xml:space="preserve">The onset of the COVID-19 pandemic introduces pressures that our existing risk management plan did not anticipate. After completing the Riskiness Index for our company across four different segments (Financial, Infrastructure, Reputation, Marketplace), our index stands at 55 out of 80. Among these four segments, our marketplace and reputation risks score the highest, with indices of 15 and 14, followed by infrastructure and financial risks, which each score 13 out of 20. These results indicate substantial exposure across all four segments. IT resilience is our highest-rated individual risk at 5/5, despite Infrastructure having a lower overall total. Investment volatility, changing premium income, and claims obligations may also place pressure on liquidity and reserves. Considering the size of our company and our customer base, we should invest in mitigating risk and preparing for </w:t>
      </w:r>
      <w:r w:rsidR="00805F3F" w:rsidRPr="00805F3F">
        <w:t>foreseeable disruptions</w:t>
      </w:r>
      <w:r w:rsidRPr="00805F3F">
        <w:t xml:space="preserve">. </w:t>
      </w:r>
    </w:p>
    <w:p w14:paraId="436BD7C0" w14:textId="64272593" w:rsidR="00EC4C8F" w:rsidRPr="00805F3F" w:rsidRDefault="00112E92">
      <w:r w:rsidRPr="00805F3F">
        <w:t>We operate in Ontario, Canada, and federal and provincial requirements apply to our company across different segments. Failure to satisfy applicable regulatory standards may affect our reputation and marketplace position and expose us to regulatory action.</w:t>
      </w:r>
      <w:r w:rsidR="00805F3F">
        <w:t xml:space="preserve"> </w:t>
      </w:r>
      <w:r w:rsidRPr="00805F3F">
        <w:t xml:space="preserve">These requirements include PIPEDA (Personal Information Protection and Electronic Documents Act; Government of Canada, 2000), Ontario insurance requirements overseen by the Financial Services Regulatory Authority of Ontario (FSRA, n.d.), and applicable anti-money-laundering obligations for our life-insurance activities overseen by FINTRAC (Financial Transactions and Reports Analysis Centre of Canada, n.d.). OSFI (Office of the Superintendent of Financial Institutions, n.d.) supervises federally regulated insurers; its applicability to ITrustU requires confirmation. These bodies have different responsibilities, so we need to identify the requirements relevant to our activities and maintain compliance as </w:t>
      </w:r>
      <w:r w:rsidR="00805F3F" w:rsidRPr="00805F3F">
        <w:t>work</w:t>
      </w:r>
      <w:r w:rsidRPr="00805F3F">
        <w:t xml:space="preserve"> arrangements change.</w:t>
      </w:r>
    </w:p>
    <w:p w14:paraId="1B40A8D5" w14:textId="5E7B8F2A" w:rsidR="00EC4C8F" w:rsidRPr="00805F3F" w:rsidRDefault="00112E92">
      <w:r w:rsidRPr="00805F3F">
        <w:t xml:space="preserve">Our reliance on office-based equipment and on-site servers may limit remote access, while external providers may experience staffing shortages, delayed services, or business closures. With remote staff and a small team covering claims and IT, we could struggle to maintain essential services and effective oversight. Preparing in advance can help. For example, staff training, secure access to company resources, and well-kept </w:t>
      </w:r>
      <w:r w:rsidR="00805F3F" w:rsidRPr="00805F3F">
        <w:t>documentation could</w:t>
      </w:r>
      <w:r w:rsidRPr="00805F3F">
        <w:t xml:space="preserve"> support continuity and compliance as working arrangements change. These pressures may occur together, disrupting claims processing and premium collection while affecting customer information and trust. </w:t>
      </w:r>
    </w:p>
    <w:p w14:paraId="1A99C32E" w14:textId="68CEDE79" w:rsidR="00EC4C8F" w:rsidRDefault="00112E92">
      <w:r w:rsidRPr="00805F3F">
        <w:t xml:space="preserve">Overall, </w:t>
      </w:r>
      <w:r w:rsidR="00805F3F" w:rsidRPr="00805F3F">
        <w:t>by updating</w:t>
      </w:r>
      <w:r w:rsidRPr="00805F3F">
        <w:t xml:space="preserve"> our existing risk management plan, we can better understand our weak points and areas of exposure. Having a plan to mitigate these risks can improve our ability to respond and recover if disruptions occur, while reducing their likelihood or consequences where possible. This context guides the strategy, risk appetite, resources, and protocols developed in the following Risk Agenda sections.</w:t>
      </w:r>
    </w:p>
    <w:p w14:paraId="17E18059" w14:textId="77777777" w:rsidR="00EC4C8F" w:rsidRDefault="00112E92">
      <w:pPr>
        <w:pStyle w:val="Heading1"/>
        <w:pageBreakBefore/>
      </w:pPr>
      <w:r>
        <w:lastRenderedPageBreak/>
        <w:t>References</w:t>
      </w:r>
    </w:p>
    <w:p w14:paraId="4105987E" w14:textId="77777777" w:rsidR="00EC4C8F" w:rsidRDefault="00112E92">
      <w:r>
        <w:rPr>
          <w:b/>
        </w:rPr>
        <w:t>Financial Services Regulatory Authority of Ontario. (n.d.). Property and casualty, and general insurance. https://www.fsrao.ca/industry/property-and-casualty-and-general-insurance</w:t>
      </w:r>
    </w:p>
    <w:p w14:paraId="0EB80287" w14:textId="77777777" w:rsidR="00EC4C8F" w:rsidRDefault="00112E92">
      <w:r>
        <w:t xml:space="preserve">Financial Transactions and Reports Analysis Centre of Canada. (n.d.). </w:t>
      </w:r>
      <w:r>
        <w:rPr>
          <w:b/>
        </w:rPr>
        <w:t xml:space="preserve">Life insurance companies, brokers and agents. </w:t>
      </w:r>
      <w:r>
        <w:t xml:space="preserve">Government of Canada.  </w:t>
      </w:r>
      <w:r>
        <w:rPr>
          <w:b/>
        </w:rPr>
        <w:t>https://fintrac-canafe.canada.ca/re-ed/li-eng</w:t>
      </w:r>
      <w:r>
        <w:t xml:space="preserve"> </w:t>
      </w:r>
    </w:p>
    <w:p w14:paraId="4445A5F9" w14:textId="77777777" w:rsidR="00EC4C8F" w:rsidRDefault="00112E92">
      <w:r>
        <w:t>Government of Canada. (2000). Personal Information Protection and Electronic Documents Act (S.C. 2000, c. 5). Justice Laws Website. https://laws-lois.justice.gc.ca/eng/acts/p-8.6/page-1.html</w:t>
      </w:r>
    </w:p>
    <w:p w14:paraId="3EFD0C63" w14:textId="77777777" w:rsidR="00EC4C8F" w:rsidRDefault="00112E92">
      <w:r>
        <w:t xml:space="preserve">Office of the Superintendent of Financial Institutions. (n.d.). </w:t>
      </w:r>
      <w:r>
        <w:rPr>
          <w:b/>
        </w:rPr>
        <w:t xml:space="preserve">Financial institutions. </w:t>
      </w:r>
      <w:r>
        <w:t xml:space="preserve">Government of Canada.  </w:t>
      </w:r>
      <w:r>
        <w:rPr>
          <w:b/>
        </w:rPr>
        <w:t>https://www.osfi-bsif.gc.ca/en/supervision/financial-institutions</w:t>
      </w:r>
      <w:r>
        <w:t xml:space="preserve"> </w:t>
      </w:r>
    </w:p>
    <w:sectPr w:rsidR="00EC4C8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538193">
    <w:abstractNumId w:val="8"/>
  </w:num>
  <w:num w:numId="2" w16cid:durableId="1616868481">
    <w:abstractNumId w:val="6"/>
  </w:num>
  <w:num w:numId="3" w16cid:durableId="2077900503">
    <w:abstractNumId w:val="5"/>
  </w:num>
  <w:num w:numId="4" w16cid:durableId="483090851">
    <w:abstractNumId w:val="4"/>
  </w:num>
  <w:num w:numId="5" w16cid:durableId="290134679">
    <w:abstractNumId w:val="7"/>
  </w:num>
  <w:num w:numId="6" w16cid:durableId="66420695">
    <w:abstractNumId w:val="3"/>
  </w:num>
  <w:num w:numId="7" w16cid:durableId="278879434">
    <w:abstractNumId w:val="2"/>
  </w:num>
  <w:num w:numId="8" w16cid:durableId="1891921384">
    <w:abstractNumId w:val="1"/>
  </w:num>
  <w:num w:numId="9" w16cid:durableId="751052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E92"/>
    <w:rsid w:val="0015074B"/>
    <w:rsid w:val="001F5E1D"/>
    <w:rsid w:val="0029639D"/>
    <w:rsid w:val="00326F90"/>
    <w:rsid w:val="0042787C"/>
    <w:rsid w:val="005E0D6D"/>
    <w:rsid w:val="007A0285"/>
    <w:rsid w:val="00805F3F"/>
    <w:rsid w:val="00882FBB"/>
    <w:rsid w:val="00AA1D8D"/>
    <w:rsid w:val="00B47730"/>
    <w:rsid w:val="00CB0664"/>
    <w:rsid w:val="00EC4C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31402"/>
  <w14:defaultImageDpi w14:val="300"/>
  <w15:docId w15:val="{063B8ABD-9F93-48EA-820C-B650BF10B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Chris Haritun</cp:lastModifiedBy>
  <cp:revision>1</cp:revision>
  <dcterms:created xsi:type="dcterms:W3CDTF">2013-12-23T23:15:00Z</dcterms:created>
  <dcterms:modified xsi:type="dcterms:W3CDTF">2026-10-07T01:14:00Z</dcterms:modified>
  <cp:category/>
</cp:coreProperties>
</file>