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F2DEE5" w14:textId="77777777" w:rsidR="00D20378" w:rsidRDefault="002B2C6B">
      <w:pPr>
        <w:pStyle w:val="Title"/>
      </w:pPr>
      <w:r>
        <w:t>ITrustU Risk Strategy</w:t>
      </w:r>
    </w:p>
    <w:p w14:paraId="36E1C2DA" w14:textId="77777777" w:rsidR="00D20378" w:rsidRDefault="002B2C6B">
      <w:pPr>
        <w:pStyle w:val="Heading1"/>
      </w:pPr>
      <w:r>
        <w:t>1 Purpose and objectives</w:t>
      </w:r>
    </w:p>
    <w:p w14:paraId="0DFCFBD1" w14:textId="77777777" w:rsidR="00D20378" w:rsidRDefault="002B2C6B">
      <w:r>
        <w:t>Our risk management strategy is to stabilize essential operations during the COVID-19 pandemic while protecting employees, customer information, and our ability to meet policyholder obligations. We will prioritize claims processing, premium collection, and customer support, supported by adequate financial capacity and reliable technology.</w:t>
      </w:r>
    </w:p>
    <w:p w14:paraId="3D553381" w14:textId="77777777" w:rsidR="00D20378" w:rsidRDefault="002B2C6B">
      <w:r>
        <w:t>Growth initiatives will be deferred until routine operations have been successfully reorganized and stabilized. Investment needed to secure or sustain these operations will continue to be considered, including digital improvements that may also support future growth.</w:t>
      </w:r>
    </w:p>
    <w:p w14:paraId="08A5A6A5" w14:textId="77777777" w:rsidR="00D20378" w:rsidRDefault="002B2C6B">
      <w:pPr>
        <w:pStyle w:val="Heading1"/>
      </w:pPr>
      <w:r>
        <w:t>2 Overall approach</w:t>
      </w:r>
    </w:p>
    <w:p w14:paraId="55F6C60E" w14:textId="77777777" w:rsidR="00D20378" w:rsidRDefault="002B2C6B">
      <w:r>
        <w:t>We will take a proactive and coordinated approach, using the Riskiness Index to guide further assessment and resource decisions. Actions will be scheduled according to urgency, dependencies, and potential consequences. The first three months will provide an initial planning period for immediate needs, including workforce adjustments; longer-term improvements will continue beyond this period, with effective changes incorporated into ongoing practice.</w:t>
      </w:r>
    </w:p>
    <w:p w14:paraId="7718F72D" w14:textId="77777777" w:rsidR="00D20378" w:rsidRDefault="002B2C6B">
      <w:r>
        <w:t>Operational changes will be assessed, tested, and introduced in manageable stages. Expanded cloud services may support remote work and resilience, but proposals must consider service continuity, access security, costs, staff readiness, and provider dependence. Decisions will operate within the appetite and thresholds established in the Risk Attitude and Appetite section.</w:t>
      </w:r>
    </w:p>
    <w:p w14:paraId="13CF6F5D" w14:textId="77777777" w:rsidR="00D20378" w:rsidRDefault="002B2C6B">
      <w:pPr>
        <w:pStyle w:val="Heading1"/>
      </w:pPr>
      <w:r>
        <w:t>3 Strategic priorities</w:t>
      </w:r>
    </w:p>
    <w:p w14:paraId="17EFF98F" w14:textId="77777777" w:rsidR="00D20378" w:rsidRDefault="002B2C6B">
      <w:r>
        <w:t>Part 1 records an overall score of 55/80, with Marketplace the highest-scoring component and IT resilience the highest-rated individual exposure. Our priorities are secure and reliable systems; stronger financial controls and assessment of liquidity and reserves; continuity of essential staffing and suppliers; clear customer communication; and adaptation to changing demand.</w:t>
      </w:r>
    </w:p>
    <w:p w14:paraId="6C45B452" w14:textId="77777777" w:rsidR="00D20378" w:rsidRDefault="002B2C6B">
      <w:r>
        <w:t>Priority will also reflect connections between risks. An IT failure or supplier disruption may affect revenue, claims handling, confidential information, and customer trust at the same time. Component totals will inform decisions alongside these dependencies and the urgency of individual exposures.</w:t>
      </w:r>
    </w:p>
    <w:p w14:paraId="492391AB" w14:textId="77777777" w:rsidR="00D20378" w:rsidRDefault="002B2C6B">
      <w:r>
        <w:br w:type="page"/>
      </w:r>
    </w:p>
    <w:p w14:paraId="74982BE7" w14:textId="77777777" w:rsidR="00D20378" w:rsidRDefault="002B2C6B">
      <w:pPr>
        <w:pStyle w:val="Heading1"/>
      </w:pPr>
      <w:r>
        <w:lastRenderedPageBreak/>
        <w:t>4 Integration into business decisions</w:t>
      </w:r>
    </w:p>
    <w:p w14:paraId="0CD93482" w14:textId="77777777" w:rsidR="00D20378" w:rsidRDefault="002B2C6B">
      <w:r>
        <w:t>Risk management will inform strategy, tactics, operations, and compliance (STOC). Strategic decisions, including digital investment and the resumption of growth, will consider continuity needs and financial capacity. Tactical decisions, including remote-work changes and supplier transitions, will be assessed before implementation. Daily operations will use risk information to manage staffing, claims workloads, and customer service. Compliance considerations will inform information handling, record keeping, and the fulfilment of policyholder obligations.</w:t>
      </w:r>
    </w:p>
    <w:p w14:paraId="03C00ECF" w14:textId="77777777" w:rsidR="00D20378" w:rsidRDefault="002B2C6B">
      <w:r>
        <w:t>The Risk Resources section will identify the capacity needed to deliver these priorities. The Risk Protocols section will establish consistent assessment, control, documentation, and reporting procedures. Together, these sections will support decisions that reflect both our objectives and our agreed risk limits.</w:t>
      </w:r>
    </w:p>
    <w:p w14:paraId="7A04DBC9" w14:textId="77777777" w:rsidR="00D20378" w:rsidRDefault="002B2C6B">
      <w:pPr>
        <w:pStyle w:val="Heading1"/>
      </w:pPr>
      <w:r>
        <w:t>5 Leadership and organizational commitment</w:t>
      </w:r>
    </w:p>
    <w:p w14:paraId="27709DE4" w14:textId="77777777" w:rsidR="00D20378" w:rsidRDefault="002B2C6B">
      <w:r>
        <w:t>Executive management will sponsor the strategy and establish a crisis leadership team with input from the relevant business functions. The team will coordinate the pandemic response and approve urgent operational changes within agreed authority and resource limits. Decisions exceeding those limits, or exposing us to risk beyond approved thresholds, will be escalated to executive management.</w:t>
      </w:r>
    </w:p>
    <w:p w14:paraId="2665EEA6" w14:textId="77777777" w:rsidR="00D20378" w:rsidRDefault="002B2C6B">
      <w:r>
        <w:t>Functional managers will remain accountable for risks within their areas and for identifying effects on other functions. Support from Tiva and specialist providers will be evaluated where it can improve capacity or expertise, with availability and terms confirmed before reliance is placed on it. Outsourcing an activity will not be assumed to transfer all associated risk or remove our accountability.</w:t>
      </w:r>
    </w:p>
    <w:p w14:paraId="2F812056" w14:textId="77777777" w:rsidR="00D20378" w:rsidRDefault="002B2C6B">
      <w:pPr>
        <w:pStyle w:val="Heading1"/>
      </w:pPr>
      <w:r>
        <w:t>6 Intended outcomes and review</w:t>
      </w:r>
    </w:p>
    <w:p w14:paraId="07C24868" w14:textId="77777777" w:rsidR="00D20378" w:rsidRDefault="002B2C6B">
      <w:r>
        <w:t>We seek reliable essential services, secure remote working, manageable workloads, stronger controls, and better-informed allocation of resources. Proposed indicators include service availability, claims backlogs, essential-role coverage, approved secure remote access, liquidity measures, and control-test results. Baselines, targets, reporting responsibilities, and review frequency will be agreed through the accompanying agenda sections.</w:t>
      </w:r>
    </w:p>
    <w:p w14:paraId="436063FF" w14:textId="77777777" w:rsidR="00D20378" w:rsidRDefault="002B2C6B">
      <w:r>
        <w:t>The crisis leadership team will review progress regularly and following significant incidents or changes in conditions. Executive management will consider resuming growth when evidence demonstrates stable service, adequate staffing, effective controls, and sufficient financial capacity. Successful temporary arrangements will be assessed for adoption into ongoing practice.</w:t>
      </w:r>
    </w:p>
    <w:sectPr w:rsidR="00D20378"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3077885">
    <w:abstractNumId w:val="8"/>
  </w:num>
  <w:num w:numId="2" w16cid:durableId="629632954">
    <w:abstractNumId w:val="6"/>
  </w:num>
  <w:num w:numId="3" w16cid:durableId="590045722">
    <w:abstractNumId w:val="5"/>
  </w:num>
  <w:num w:numId="4" w16cid:durableId="1259412722">
    <w:abstractNumId w:val="4"/>
  </w:num>
  <w:num w:numId="5" w16cid:durableId="539363051">
    <w:abstractNumId w:val="7"/>
  </w:num>
  <w:num w:numId="6" w16cid:durableId="408312579">
    <w:abstractNumId w:val="3"/>
  </w:num>
  <w:num w:numId="7" w16cid:durableId="1715275799">
    <w:abstractNumId w:val="2"/>
  </w:num>
  <w:num w:numId="8" w16cid:durableId="1999310149">
    <w:abstractNumId w:val="1"/>
  </w:num>
  <w:num w:numId="9" w16cid:durableId="1894079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1F17"/>
    <w:rsid w:val="0015074B"/>
    <w:rsid w:val="001E46CE"/>
    <w:rsid w:val="002127C4"/>
    <w:rsid w:val="0029639D"/>
    <w:rsid w:val="002B2C6B"/>
    <w:rsid w:val="00326F90"/>
    <w:rsid w:val="007A0285"/>
    <w:rsid w:val="00935D1A"/>
    <w:rsid w:val="00AA1D8D"/>
    <w:rsid w:val="00B47730"/>
    <w:rsid w:val="00CB0664"/>
    <w:rsid w:val="00D20378"/>
    <w:rsid w:val="00FC693F"/>
    <w:rsid w:val="00FD37D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7B463E"/>
  <w14:defaultImageDpi w14:val="300"/>
  <w15:docId w15:val="{8CEEB0D4-AB7D-4077-97E4-A3644EB4F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22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717</Words>
  <Characters>4087</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Chris Haritun</cp:lastModifiedBy>
  <cp:revision>1</cp:revision>
  <dcterms:created xsi:type="dcterms:W3CDTF">2013-12-23T23:15:00Z</dcterms:created>
  <dcterms:modified xsi:type="dcterms:W3CDTF">2026-10-07T01:14:00Z</dcterms:modified>
  <cp:category/>
</cp:coreProperties>
</file>