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889E" w14:textId="77777777" w:rsidR="00086BD9" w:rsidRDefault="00241432">
      <w:pPr>
        <w:pStyle w:val="Title"/>
        <w:rPr>
          <w:sz w:val="22"/>
          <w:u w:val="none"/>
        </w:rPr>
      </w:pPr>
      <w:r>
        <w:rPr>
          <w:u w:val="thick"/>
        </w:rPr>
        <w:t>Template 4: Risk Consequence</w:t>
      </w:r>
      <w:r>
        <w:rPr>
          <w:sz w:val="22"/>
          <w:u w:val="thick"/>
        </w:rPr>
        <w:t>s</w:t>
      </w:r>
    </w:p>
    <w:p w14:paraId="298B889F" w14:textId="77777777" w:rsidR="00086BD9" w:rsidRDefault="00086BD9">
      <w:pPr>
        <w:pStyle w:val="BodyText"/>
        <w:spacing w:before="5"/>
        <w:rPr>
          <w:b/>
          <w:sz w:val="24"/>
        </w:rPr>
      </w:pPr>
    </w:p>
    <w:p w14:paraId="298B88A0" w14:textId="77777777" w:rsidR="00086BD9" w:rsidRDefault="00241432">
      <w:pPr>
        <w:pStyle w:val="BodyText"/>
        <w:spacing w:before="56" w:line="276" w:lineRule="auto"/>
        <w:ind w:left="220" w:right="347" w:hanging="1"/>
      </w:pPr>
      <w:r>
        <w:t>Completing the risk record in Template 3 on a risk by risk basis will provide the organization with an overview of the specific events that could have a significant impact on its finances, infrastructure, reputation and marketplace. Completion of this risk</w:t>
      </w:r>
      <w:r>
        <w:t xml:space="preserve"> consequences template will enable the organization to decide the management actions it intends to take in response to the significant risk events. Template 4 is designed to enable the organization to evaluate the potential consequences for strategy, tacti</w:t>
      </w:r>
      <w:r>
        <w:t>cs, operations and compliance for each of the risk events.</w:t>
      </w:r>
    </w:p>
    <w:p w14:paraId="298B88A1" w14:textId="77777777" w:rsidR="00086BD9" w:rsidRDefault="00086BD9">
      <w:pPr>
        <w:pStyle w:val="BodyText"/>
        <w:spacing w:before="3"/>
        <w:rPr>
          <w:sz w:val="25"/>
        </w:rPr>
      </w:pPr>
    </w:p>
    <w:p w14:paraId="298B88A2" w14:textId="77777777" w:rsidR="00086BD9" w:rsidRDefault="00241432">
      <w:pPr>
        <w:pStyle w:val="BodyText"/>
        <w:spacing w:before="1" w:line="276" w:lineRule="auto"/>
        <w:ind w:left="221" w:right="486" w:hanging="1"/>
      </w:pPr>
      <w:r>
        <w:t>The table below should be completed on a risk by risk basis to record the results of the risk evaluation for each of the potentially significant risk events. Undertaking the risk evaluation and re</w:t>
      </w:r>
      <w:r>
        <w:t>cording the results in the table below will enable the management of the organization to decide what actions need to be taken in order to make the anticipated consequences of each of the identified risk events tolerable.</w:t>
      </w:r>
    </w:p>
    <w:p w14:paraId="298B88A3" w14:textId="77777777" w:rsidR="00086BD9" w:rsidRDefault="00086BD9">
      <w:pPr>
        <w:pStyle w:val="BodyText"/>
        <w:rPr>
          <w:sz w:val="2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086BD9" w14:paraId="298B88A5" w14:textId="77777777">
        <w:trPr>
          <w:trHeight w:val="633"/>
        </w:trPr>
        <w:tc>
          <w:tcPr>
            <w:tcW w:w="9242" w:type="dxa"/>
            <w:gridSpan w:val="2"/>
          </w:tcPr>
          <w:p w14:paraId="298B88A4" w14:textId="77777777" w:rsidR="00086BD9" w:rsidRDefault="00241432">
            <w:pPr>
              <w:pStyle w:val="TableParagraph"/>
              <w:spacing w:before="118"/>
              <w:ind w:left="2262" w:right="2257"/>
              <w:jc w:val="center"/>
              <w:rPr>
                <w:b/>
                <w:sz w:val="28"/>
              </w:rPr>
            </w:pPr>
            <w:r>
              <w:rPr>
                <w:b/>
                <w:sz w:val="28"/>
              </w:rPr>
              <w:t>Record of anticipated risk consequ</w:t>
            </w:r>
            <w:r>
              <w:rPr>
                <w:b/>
                <w:sz w:val="28"/>
              </w:rPr>
              <w:t>ences</w:t>
            </w:r>
          </w:p>
        </w:tc>
      </w:tr>
      <w:tr w:rsidR="00086BD9" w14:paraId="298B88A8" w14:textId="77777777">
        <w:trPr>
          <w:trHeight w:val="2109"/>
        </w:trPr>
        <w:tc>
          <w:tcPr>
            <w:tcW w:w="2660" w:type="dxa"/>
          </w:tcPr>
          <w:p w14:paraId="298B88A6" w14:textId="090DD031" w:rsidR="00086BD9" w:rsidRDefault="00241432">
            <w:pPr>
              <w:pStyle w:val="TableParagraph"/>
              <w:spacing w:before="119" w:line="276" w:lineRule="auto"/>
              <w:ind w:left="107" w:right="1250"/>
            </w:pPr>
            <w:r>
              <w:t xml:space="preserve">Risk reference </w:t>
            </w:r>
          </w:p>
        </w:tc>
        <w:tc>
          <w:tcPr>
            <w:tcW w:w="6582" w:type="dxa"/>
          </w:tcPr>
          <w:p w14:paraId="5BB41853" w14:textId="77777777" w:rsidR="00FD3E16" w:rsidRDefault="00FD3E16" w:rsidP="00FD3E16">
            <w:pPr>
              <w:pStyle w:val="ListParagraph"/>
              <w:numPr>
                <w:ilvl w:val="0"/>
                <w:numId w:val="1"/>
              </w:numPr>
              <w:tabs>
                <w:tab w:val="left" w:pos="437"/>
              </w:tabs>
              <w:spacing w:before="41" w:line="276" w:lineRule="auto"/>
              <w:ind w:right="786" w:hanging="1"/>
            </w:pPr>
            <w:r>
              <w:t>Unique identifier should be assigned to each risk. For ease of reference and unambiguous identification</w:t>
            </w:r>
            <w:r>
              <w:rPr>
                <w:spacing w:val="-3"/>
              </w:rPr>
              <w:t xml:space="preserve"> </w:t>
            </w:r>
            <w:r>
              <w:t>of</w:t>
            </w:r>
            <w:r>
              <w:rPr>
                <w:spacing w:val="-3"/>
              </w:rPr>
              <w:t xml:space="preserve"> </w:t>
            </w:r>
            <w:r>
              <w:t>risk,</w:t>
            </w:r>
            <w:r>
              <w:rPr>
                <w:spacing w:val="-3"/>
              </w:rPr>
              <w:t xml:space="preserve"> </w:t>
            </w:r>
            <w:r>
              <w:t>the</w:t>
            </w:r>
            <w:r>
              <w:rPr>
                <w:spacing w:val="-3"/>
              </w:rPr>
              <w:t xml:space="preserve"> </w:t>
            </w:r>
            <w:r>
              <w:t>risk</w:t>
            </w:r>
            <w:r>
              <w:rPr>
                <w:spacing w:val="-3"/>
              </w:rPr>
              <w:t xml:space="preserve"> </w:t>
            </w:r>
            <w:r>
              <w:t>reference</w:t>
            </w:r>
            <w:r>
              <w:rPr>
                <w:spacing w:val="-3"/>
              </w:rPr>
              <w:t xml:space="preserve"> </w:t>
            </w:r>
            <w:r>
              <w:t>assigned</w:t>
            </w:r>
            <w:r>
              <w:rPr>
                <w:spacing w:val="-3"/>
              </w:rPr>
              <w:t xml:space="preserve"> </w:t>
            </w:r>
            <w:r>
              <w:t>can</w:t>
            </w:r>
            <w:r>
              <w:rPr>
                <w:spacing w:val="-2"/>
              </w:rPr>
              <w:t xml:space="preserve"> </w:t>
            </w:r>
            <w:r>
              <w:t>also</w:t>
            </w:r>
            <w:r>
              <w:rPr>
                <w:spacing w:val="-3"/>
              </w:rPr>
              <w:t xml:space="preserve"> </w:t>
            </w:r>
            <w:r>
              <w:t>be</w:t>
            </w:r>
            <w:r>
              <w:rPr>
                <w:spacing w:val="-3"/>
              </w:rPr>
              <w:t xml:space="preserve"> </w:t>
            </w:r>
            <w:r>
              <w:t>used to</w:t>
            </w:r>
            <w:r>
              <w:rPr>
                <w:spacing w:val="-3"/>
              </w:rPr>
              <w:t xml:space="preserve"> </w:t>
            </w:r>
            <w:r>
              <w:t>indicate</w:t>
            </w:r>
            <w:r>
              <w:rPr>
                <w:spacing w:val="-1"/>
              </w:rPr>
              <w:t xml:space="preserve"> </w:t>
            </w:r>
            <w:r>
              <w:t>the</w:t>
            </w:r>
            <w:r>
              <w:rPr>
                <w:spacing w:val="-3"/>
              </w:rPr>
              <w:t xml:space="preserve"> </w:t>
            </w:r>
            <w:r>
              <w:t>nature</w:t>
            </w:r>
            <w:r>
              <w:rPr>
                <w:spacing w:val="-3"/>
              </w:rPr>
              <w:t xml:space="preserve"> </w:t>
            </w:r>
            <w:r>
              <w:t>and/or location of the</w:t>
            </w:r>
            <w:r>
              <w:rPr>
                <w:spacing w:val="-4"/>
              </w:rPr>
              <w:t xml:space="preserve"> </w:t>
            </w:r>
            <w:r>
              <w:t>risk.</w:t>
            </w:r>
          </w:p>
          <w:p w14:paraId="298B88A7" w14:textId="77777777" w:rsidR="00086BD9" w:rsidRDefault="00086BD9">
            <w:pPr>
              <w:pStyle w:val="TableParagraph"/>
              <w:rPr>
                <w:rFonts w:ascii="Times New Roman"/>
              </w:rPr>
            </w:pPr>
          </w:p>
        </w:tc>
      </w:tr>
      <w:tr w:rsidR="00086BD9" w14:paraId="298B88AB" w14:textId="77777777">
        <w:trPr>
          <w:trHeight w:val="2107"/>
        </w:trPr>
        <w:tc>
          <w:tcPr>
            <w:tcW w:w="2660" w:type="dxa"/>
          </w:tcPr>
          <w:p w14:paraId="298B88A9" w14:textId="0558ACC5" w:rsidR="00086BD9" w:rsidRDefault="00241432">
            <w:pPr>
              <w:pStyle w:val="TableParagraph"/>
              <w:spacing w:before="119" w:line="276" w:lineRule="auto"/>
              <w:ind w:left="107" w:right="852"/>
            </w:pPr>
            <w:r>
              <w:t xml:space="preserve">Risk consequences </w:t>
            </w:r>
          </w:p>
        </w:tc>
        <w:tc>
          <w:tcPr>
            <w:tcW w:w="6582" w:type="dxa"/>
          </w:tcPr>
          <w:p w14:paraId="54A50493" w14:textId="77777777" w:rsidR="00FD3E16" w:rsidRDefault="00FD3E16" w:rsidP="00FD3E16">
            <w:pPr>
              <w:pStyle w:val="ListParagraph"/>
              <w:numPr>
                <w:ilvl w:val="0"/>
                <w:numId w:val="1"/>
              </w:numPr>
              <w:tabs>
                <w:tab w:val="left" w:pos="437"/>
              </w:tabs>
              <w:spacing w:line="276" w:lineRule="auto"/>
              <w:ind w:right="440"/>
              <w:jc w:val="both"/>
            </w:pPr>
            <w:r>
              <w:t>Evaluation by top management of the anticipated consequences for strategy, tactics, operations and/or compliance should the event occur, including consideration of the consequences of the risk event for the future of the</w:t>
            </w:r>
            <w:r>
              <w:rPr>
                <w:spacing w:val="-2"/>
              </w:rPr>
              <w:t xml:space="preserve"> </w:t>
            </w:r>
            <w:r>
              <w:t>organization.</w:t>
            </w:r>
          </w:p>
          <w:p w14:paraId="298B88AA" w14:textId="77777777" w:rsidR="00086BD9" w:rsidRDefault="00086BD9">
            <w:pPr>
              <w:pStyle w:val="TableParagraph"/>
              <w:rPr>
                <w:rFonts w:ascii="Times New Roman"/>
              </w:rPr>
            </w:pPr>
          </w:p>
        </w:tc>
      </w:tr>
      <w:tr w:rsidR="00086BD9" w14:paraId="298B88AE" w14:textId="77777777">
        <w:trPr>
          <w:trHeight w:val="2109"/>
        </w:trPr>
        <w:tc>
          <w:tcPr>
            <w:tcW w:w="2660" w:type="dxa"/>
          </w:tcPr>
          <w:p w14:paraId="298B88AC" w14:textId="35E8C288" w:rsidR="00086BD9" w:rsidRDefault="00241432">
            <w:pPr>
              <w:pStyle w:val="TableParagraph"/>
              <w:spacing w:before="120" w:line="276" w:lineRule="auto"/>
              <w:ind w:left="107" w:right="549"/>
            </w:pPr>
            <w:r>
              <w:t xml:space="preserve">Plans for reducing risk </w:t>
            </w:r>
          </w:p>
        </w:tc>
        <w:tc>
          <w:tcPr>
            <w:tcW w:w="6582" w:type="dxa"/>
          </w:tcPr>
          <w:p w14:paraId="658AF252" w14:textId="77777777" w:rsidR="00FD3E16" w:rsidRDefault="00FD3E16" w:rsidP="00FD3E16">
            <w:pPr>
              <w:pStyle w:val="ListParagraph"/>
              <w:numPr>
                <w:ilvl w:val="0"/>
                <w:numId w:val="1"/>
              </w:numPr>
              <w:tabs>
                <w:tab w:val="left" w:pos="438"/>
              </w:tabs>
              <w:spacing w:line="276" w:lineRule="auto"/>
              <w:ind w:right="424"/>
            </w:pPr>
            <w:r>
              <w:t>Recording of plans for reducing level of risk in order to make the risk tolerable in relation to the anticipated consequences should the risk event occur and the intended rewards of continuing with the activity to which the risk</w:t>
            </w:r>
            <w:r>
              <w:rPr>
                <w:spacing w:val="-3"/>
              </w:rPr>
              <w:t xml:space="preserve"> </w:t>
            </w:r>
            <w:r>
              <w:t>relates.</w:t>
            </w:r>
          </w:p>
          <w:p w14:paraId="298B88AD" w14:textId="77777777" w:rsidR="00086BD9" w:rsidRDefault="00086BD9">
            <w:pPr>
              <w:pStyle w:val="TableParagraph"/>
              <w:rPr>
                <w:rFonts w:ascii="Times New Roman"/>
              </w:rPr>
            </w:pPr>
          </w:p>
        </w:tc>
      </w:tr>
      <w:tr w:rsidR="00086BD9" w14:paraId="298B88B1" w14:textId="77777777">
        <w:trPr>
          <w:trHeight w:val="2109"/>
        </w:trPr>
        <w:tc>
          <w:tcPr>
            <w:tcW w:w="2660" w:type="dxa"/>
          </w:tcPr>
          <w:p w14:paraId="298B88AF" w14:textId="3D7BA164" w:rsidR="00086BD9" w:rsidRDefault="00241432">
            <w:pPr>
              <w:pStyle w:val="TableParagraph"/>
              <w:spacing w:before="119" w:line="276" w:lineRule="auto"/>
              <w:ind w:left="108" w:right="572" w:hanging="1"/>
            </w:pPr>
            <w:r>
              <w:t xml:space="preserve">Monitoring of the risk </w:t>
            </w:r>
          </w:p>
        </w:tc>
        <w:tc>
          <w:tcPr>
            <w:tcW w:w="6582" w:type="dxa"/>
          </w:tcPr>
          <w:p w14:paraId="0EC83F9A" w14:textId="77777777" w:rsidR="00FD3E16" w:rsidRDefault="00FD3E16" w:rsidP="00FD3E16">
            <w:pPr>
              <w:pStyle w:val="ListParagraph"/>
              <w:numPr>
                <w:ilvl w:val="0"/>
                <w:numId w:val="1"/>
              </w:numPr>
              <w:tabs>
                <w:tab w:val="left" w:pos="440"/>
              </w:tabs>
              <w:spacing w:line="276" w:lineRule="auto"/>
            </w:pPr>
            <w:r>
              <w:t>Details of how the level of risk is monitored, including details of measurements taken of risk performance and/or the leading and following indicators that would result in a change in the level of risk.</w:t>
            </w:r>
          </w:p>
          <w:p w14:paraId="298B88B0" w14:textId="77777777" w:rsidR="00086BD9" w:rsidRDefault="00086BD9">
            <w:pPr>
              <w:pStyle w:val="TableParagraph"/>
              <w:rPr>
                <w:rFonts w:ascii="Times New Roman"/>
              </w:rPr>
            </w:pPr>
          </w:p>
        </w:tc>
      </w:tr>
    </w:tbl>
    <w:p w14:paraId="298B88B2" w14:textId="77777777" w:rsidR="00086BD9" w:rsidRDefault="00086BD9">
      <w:pPr>
        <w:rPr>
          <w:rFonts w:ascii="Times New Roman"/>
        </w:rPr>
        <w:sectPr w:rsidR="00086BD9">
          <w:type w:val="continuous"/>
          <w:pgSz w:w="11900" w:h="16840"/>
          <w:pgMar w:top="1400" w:right="1200" w:bottom="280" w:left="1220" w:header="720" w:footer="720"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60"/>
        <w:gridCol w:w="6582"/>
      </w:tblGrid>
      <w:tr w:rsidR="00086BD9" w14:paraId="298B88B5" w14:textId="77777777">
        <w:trPr>
          <w:trHeight w:val="2109"/>
        </w:trPr>
        <w:tc>
          <w:tcPr>
            <w:tcW w:w="2660" w:type="dxa"/>
          </w:tcPr>
          <w:p w14:paraId="298B88B3" w14:textId="4AEB45D4" w:rsidR="00086BD9" w:rsidRDefault="00241432">
            <w:pPr>
              <w:pStyle w:val="TableParagraph"/>
              <w:spacing w:before="119" w:line="276" w:lineRule="auto"/>
              <w:ind w:left="108" w:right="499" w:hanging="1"/>
            </w:pPr>
            <w:r>
              <w:lastRenderedPageBreak/>
              <w:t xml:space="preserve">Governance of the risk </w:t>
            </w:r>
          </w:p>
        </w:tc>
        <w:tc>
          <w:tcPr>
            <w:tcW w:w="6582" w:type="dxa"/>
          </w:tcPr>
          <w:p w14:paraId="49D625EE" w14:textId="77777777" w:rsidR="00FD3E16" w:rsidRDefault="00FD3E16" w:rsidP="00FD3E16">
            <w:pPr>
              <w:pStyle w:val="ListParagraph"/>
              <w:numPr>
                <w:ilvl w:val="0"/>
                <w:numId w:val="1"/>
              </w:numPr>
              <w:tabs>
                <w:tab w:val="left" w:pos="440"/>
              </w:tabs>
              <w:spacing w:line="276" w:lineRule="auto"/>
              <w:ind w:right="930"/>
            </w:pPr>
            <w:r>
              <w:t>Confirmation of specific governance arrangements related to the risk and any statutory or mandatory reporting obligations, including consideration of the risk attitude / appetite of the organization and the ability to improve risk control</w:t>
            </w:r>
            <w:r>
              <w:rPr>
                <w:spacing w:val="-6"/>
              </w:rPr>
              <w:t xml:space="preserve"> </w:t>
            </w:r>
            <w:r>
              <w:t>standards.</w:t>
            </w:r>
          </w:p>
          <w:p w14:paraId="298B88B4" w14:textId="77777777" w:rsidR="00086BD9" w:rsidRDefault="00086BD9">
            <w:pPr>
              <w:pStyle w:val="TableParagraph"/>
              <w:rPr>
                <w:rFonts w:ascii="Times New Roman"/>
                <w:sz w:val="20"/>
              </w:rPr>
            </w:pPr>
          </w:p>
        </w:tc>
      </w:tr>
    </w:tbl>
    <w:p w14:paraId="298B88B6" w14:textId="77777777" w:rsidR="00086BD9" w:rsidRDefault="00086BD9">
      <w:pPr>
        <w:pStyle w:val="BodyText"/>
        <w:spacing w:before="8"/>
        <w:rPr>
          <w:sz w:val="20"/>
        </w:rPr>
      </w:pPr>
    </w:p>
    <w:sectPr w:rsidR="00086BD9">
      <w:pgSz w:w="11900" w:h="16840"/>
      <w:pgMar w:top="1440" w:right="12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76F6A"/>
    <w:multiLevelType w:val="hybridMultilevel"/>
    <w:tmpl w:val="4DDE95BE"/>
    <w:lvl w:ilvl="0" w:tplc="FFFFFFFF">
      <w:start w:val="1"/>
      <w:numFmt w:val="decimal"/>
      <w:lvlText w:val="%1."/>
      <w:lvlJc w:val="left"/>
      <w:pPr>
        <w:ind w:left="220" w:hanging="217"/>
      </w:pPr>
      <w:rPr>
        <w:rFonts w:ascii="Calibri" w:eastAsia="Calibri" w:hAnsi="Calibri" w:cs="Calibri" w:hint="default"/>
        <w:w w:val="99"/>
        <w:sz w:val="22"/>
        <w:szCs w:val="22"/>
      </w:rPr>
    </w:lvl>
    <w:lvl w:ilvl="1" w:tplc="FFFFFFFF">
      <w:numFmt w:val="bullet"/>
      <w:lvlText w:val="•"/>
      <w:lvlJc w:val="left"/>
      <w:pPr>
        <w:ind w:left="1146" w:hanging="217"/>
      </w:pPr>
      <w:rPr>
        <w:rFonts w:hint="default"/>
      </w:rPr>
    </w:lvl>
    <w:lvl w:ilvl="2" w:tplc="FFFFFFFF">
      <w:numFmt w:val="bullet"/>
      <w:lvlText w:val="•"/>
      <w:lvlJc w:val="left"/>
      <w:pPr>
        <w:ind w:left="2072" w:hanging="217"/>
      </w:pPr>
      <w:rPr>
        <w:rFonts w:hint="default"/>
      </w:rPr>
    </w:lvl>
    <w:lvl w:ilvl="3" w:tplc="FFFFFFFF">
      <w:numFmt w:val="bullet"/>
      <w:lvlText w:val="•"/>
      <w:lvlJc w:val="left"/>
      <w:pPr>
        <w:ind w:left="2998" w:hanging="217"/>
      </w:pPr>
      <w:rPr>
        <w:rFonts w:hint="default"/>
      </w:rPr>
    </w:lvl>
    <w:lvl w:ilvl="4" w:tplc="FFFFFFFF">
      <w:numFmt w:val="bullet"/>
      <w:lvlText w:val="•"/>
      <w:lvlJc w:val="left"/>
      <w:pPr>
        <w:ind w:left="3924" w:hanging="217"/>
      </w:pPr>
      <w:rPr>
        <w:rFonts w:hint="default"/>
      </w:rPr>
    </w:lvl>
    <w:lvl w:ilvl="5" w:tplc="FFFFFFFF">
      <w:numFmt w:val="bullet"/>
      <w:lvlText w:val="•"/>
      <w:lvlJc w:val="left"/>
      <w:pPr>
        <w:ind w:left="4850" w:hanging="217"/>
      </w:pPr>
      <w:rPr>
        <w:rFonts w:hint="default"/>
      </w:rPr>
    </w:lvl>
    <w:lvl w:ilvl="6" w:tplc="FFFFFFFF">
      <w:numFmt w:val="bullet"/>
      <w:lvlText w:val="•"/>
      <w:lvlJc w:val="left"/>
      <w:pPr>
        <w:ind w:left="5776" w:hanging="217"/>
      </w:pPr>
      <w:rPr>
        <w:rFonts w:hint="default"/>
      </w:rPr>
    </w:lvl>
    <w:lvl w:ilvl="7" w:tplc="FFFFFFFF">
      <w:numFmt w:val="bullet"/>
      <w:lvlText w:val="•"/>
      <w:lvlJc w:val="left"/>
      <w:pPr>
        <w:ind w:left="6702" w:hanging="217"/>
      </w:pPr>
      <w:rPr>
        <w:rFonts w:hint="default"/>
      </w:rPr>
    </w:lvl>
    <w:lvl w:ilvl="8" w:tplc="FFFFFFFF">
      <w:numFmt w:val="bullet"/>
      <w:lvlText w:val="•"/>
      <w:lvlJc w:val="left"/>
      <w:pPr>
        <w:ind w:left="7628" w:hanging="217"/>
      </w:pPr>
      <w:rPr>
        <w:rFonts w:hint="default"/>
      </w:rPr>
    </w:lvl>
  </w:abstractNum>
  <w:abstractNum w:abstractNumId="1" w15:restartNumberingAfterBreak="0">
    <w:nsid w:val="69047C0C"/>
    <w:multiLevelType w:val="hybridMultilevel"/>
    <w:tmpl w:val="67021B54"/>
    <w:lvl w:ilvl="0" w:tplc="2DBCDE06">
      <w:start w:val="1"/>
      <w:numFmt w:val="decimal"/>
      <w:lvlText w:val="%1."/>
      <w:lvlJc w:val="left"/>
      <w:pPr>
        <w:ind w:left="220" w:hanging="217"/>
      </w:pPr>
      <w:rPr>
        <w:rFonts w:ascii="Calibri" w:eastAsia="Calibri" w:hAnsi="Calibri" w:cs="Calibri" w:hint="default"/>
        <w:w w:val="99"/>
        <w:sz w:val="22"/>
        <w:szCs w:val="22"/>
      </w:rPr>
    </w:lvl>
    <w:lvl w:ilvl="1" w:tplc="288CC862">
      <w:numFmt w:val="bullet"/>
      <w:lvlText w:val="•"/>
      <w:lvlJc w:val="left"/>
      <w:pPr>
        <w:ind w:left="1146" w:hanging="217"/>
      </w:pPr>
      <w:rPr>
        <w:rFonts w:hint="default"/>
      </w:rPr>
    </w:lvl>
    <w:lvl w:ilvl="2" w:tplc="E3108BF4">
      <w:numFmt w:val="bullet"/>
      <w:lvlText w:val="•"/>
      <w:lvlJc w:val="left"/>
      <w:pPr>
        <w:ind w:left="2072" w:hanging="217"/>
      </w:pPr>
      <w:rPr>
        <w:rFonts w:hint="default"/>
      </w:rPr>
    </w:lvl>
    <w:lvl w:ilvl="3" w:tplc="A8B6E746">
      <w:numFmt w:val="bullet"/>
      <w:lvlText w:val="•"/>
      <w:lvlJc w:val="left"/>
      <w:pPr>
        <w:ind w:left="2998" w:hanging="217"/>
      </w:pPr>
      <w:rPr>
        <w:rFonts w:hint="default"/>
      </w:rPr>
    </w:lvl>
    <w:lvl w:ilvl="4" w:tplc="22EE69BA">
      <w:numFmt w:val="bullet"/>
      <w:lvlText w:val="•"/>
      <w:lvlJc w:val="left"/>
      <w:pPr>
        <w:ind w:left="3924" w:hanging="217"/>
      </w:pPr>
      <w:rPr>
        <w:rFonts w:hint="default"/>
      </w:rPr>
    </w:lvl>
    <w:lvl w:ilvl="5" w:tplc="8FC88A6E">
      <w:numFmt w:val="bullet"/>
      <w:lvlText w:val="•"/>
      <w:lvlJc w:val="left"/>
      <w:pPr>
        <w:ind w:left="4850" w:hanging="217"/>
      </w:pPr>
      <w:rPr>
        <w:rFonts w:hint="default"/>
      </w:rPr>
    </w:lvl>
    <w:lvl w:ilvl="6" w:tplc="3EB62E98">
      <w:numFmt w:val="bullet"/>
      <w:lvlText w:val="•"/>
      <w:lvlJc w:val="left"/>
      <w:pPr>
        <w:ind w:left="5776" w:hanging="217"/>
      </w:pPr>
      <w:rPr>
        <w:rFonts w:hint="default"/>
      </w:rPr>
    </w:lvl>
    <w:lvl w:ilvl="7" w:tplc="FA786BF0">
      <w:numFmt w:val="bullet"/>
      <w:lvlText w:val="•"/>
      <w:lvlJc w:val="left"/>
      <w:pPr>
        <w:ind w:left="6702" w:hanging="217"/>
      </w:pPr>
      <w:rPr>
        <w:rFonts w:hint="default"/>
      </w:rPr>
    </w:lvl>
    <w:lvl w:ilvl="8" w:tplc="6C72E6FC">
      <w:numFmt w:val="bullet"/>
      <w:lvlText w:val="•"/>
      <w:lvlJc w:val="left"/>
      <w:pPr>
        <w:ind w:left="7628" w:hanging="217"/>
      </w:pPr>
      <w:rPr>
        <w:rFonts w:hint="default"/>
      </w:rPr>
    </w:lvl>
  </w:abstractNum>
  <w:num w:numId="1" w16cid:durableId="544954588">
    <w:abstractNumId w:val="1"/>
  </w:num>
  <w:num w:numId="2" w16cid:durableId="15395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086BD9"/>
    <w:rsid w:val="00086BD9"/>
    <w:rsid w:val="00241432"/>
    <w:rsid w:val="00FD3E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889E"/>
  <w15:docId w15:val="{C944678C-02FB-4E82-A4BB-21E9EEC4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8"/>
      <w:ind w:left="220"/>
    </w:pPr>
    <w:rPr>
      <w:b/>
      <w:bCs/>
      <w:sz w:val="24"/>
      <w:szCs w:val="24"/>
      <w:u w:val="single" w:color="000000"/>
    </w:rPr>
  </w:style>
  <w:style w:type="paragraph" w:styleId="ListParagraph">
    <w:name w:val="List Paragraph"/>
    <w:basedOn w:val="Normal"/>
    <w:uiPriority w:val="1"/>
    <w:qFormat/>
    <w:pPr>
      <w:ind w:left="223" w:right="271" w:hanging="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chriscox</dc:creator>
  <cp:lastModifiedBy>David Purves</cp:lastModifiedBy>
  <cp:revision>3</cp:revision>
  <dcterms:created xsi:type="dcterms:W3CDTF">2020-11-21T16:28:00Z</dcterms:created>
  <dcterms:modified xsi:type="dcterms:W3CDTF">2022-07-11T16:17:00Z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2013-03-06T00:00:00Z</vt:filetime>
  </property>
  <property fmtid="{D5CDD505-2E9C-101B-9397-08002B2CF9AE}" pid="3" name="Creator">
    <vt:lpwstr>Acrobat PDFMaker 8.1 for Word</vt:lpwstr>
  </property>
  <property fmtid="{D5CDD505-2E9C-101B-9397-08002B2CF9AE}" pid="4" name="LastSaved">
    <vt:filetime>2020-11-21T00:00:00Z</vt:filetime>
  </property>
</Properties>
</file>