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Record Database Schemas</w:t>
      </w:r>
    </w:p>
    <w:p>
      <w:r>
        <w:t>This document brings together the proposed Excel table schemas for the ITrustU risk register. It covers the current risk records, action backlog, change history, incidents, linking tables and supporting dimensions. Risk Reviews is included as a proposed addition to support the weekly review process.</w:t>
      </w:r>
    </w:p>
    <w:p>
      <w:pPr>
        <w:pStyle w:val="Heading1"/>
      </w:pPr>
      <w:r>
        <w:t>Model overview</w:t>
      </w:r>
    </w:p>
    <w:tbl>
      <w:tblPr>
        <w:tblW w:type="auto" w:w="0"/>
        <w:tblLayout w:type="fixed"/>
        <w:tblLook w:firstColumn="1" w:firstRow="1" w:lastColumn="0" w:lastRow="0" w:noHBand="0" w:noVBand="1" w:val="04A0"/>
      </w:tblPr>
      <w:tblGrid>
        <w:gridCol w:w="2016"/>
        <w:gridCol w:w="5040"/>
        <w:gridCol w:w="3168"/>
      </w:tblGrid>
      <w:tr>
        <w:trPr>
          <w:cantSplit/>
          <w:tblHeader/>
        </w:trPr>
        <w:tc>
          <w:tcPr>
            <w:tcW w:type="dxa" w:w="2016"/>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Table</w:t>
            </w:r>
          </w:p>
        </w:tc>
        <w:tc>
          <w:tcPr>
            <w:tcW w:type="dxa" w:w="504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One row represents</w:t>
            </w:r>
          </w:p>
        </w:tc>
        <w:tc>
          <w:tcPr>
            <w:tcW w:type="dxa" w:w="316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Key and role</w:t>
            </w:r>
          </w:p>
        </w:tc>
      </w:tr>
      <w:tr>
        <w:trPr>
          <w:cantSplit/>
        </w:trPr>
        <w:tc>
          <w:tcPr>
            <w:tcW w:type="dxa" w:w="20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w:t>
            </w:r>
          </w:p>
        </w:tc>
        <w:tc>
          <w:tcPr>
            <w:tcW w:type="dxa" w:w="50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identified risk and its current assessment</w:t>
            </w:r>
          </w:p>
        </w:tc>
        <w:tc>
          <w:tcPr>
            <w:tcW w:type="dxa" w:w="316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RiskID; current-state fact / operational entity</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ActionBacklog</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action to address or investigate risk</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ActionID; action fact</w:t>
            </w:r>
          </w:p>
        </w:tc>
      </w:tr>
      <w:tr>
        <w:trPr>
          <w:cantSplit/>
        </w:trPr>
        <w:tc>
          <w:tcPr>
            <w:tcW w:type="dxa" w:w="20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ChangeRegister</w:t>
            </w:r>
          </w:p>
        </w:tc>
        <w:tc>
          <w:tcPr>
            <w:tcW w:type="dxa" w:w="50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change to one field in a risk record</w:t>
            </w:r>
          </w:p>
        </w:tc>
        <w:tc>
          <w:tcPr>
            <w:tcW w:type="dxa" w:w="316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ChangeID; change-event fact</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IncidentLog</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incident or near miss</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IncidentID; incident fact</w:t>
            </w:r>
          </w:p>
        </w:tc>
      </w:tr>
      <w:tr>
        <w:trPr>
          <w:cantSplit/>
        </w:trPr>
        <w:tc>
          <w:tcPr>
            <w:tcW w:type="dxa" w:w="20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RiskReviews</w:t>
            </w:r>
          </w:p>
        </w:tc>
        <w:tc>
          <w:tcPr>
            <w:tcW w:type="dxa" w:w="50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review of one risk, including reviews with no changes</w:t>
            </w:r>
          </w:p>
        </w:tc>
        <w:tc>
          <w:tcPr>
            <w:tcW w:type="dxa" w:w="316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ReviewID; review-event fact, proposed</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RiskActions</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risk-to-action relationship</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RiskID + ActionID; bridge</w:t>
            </w:r>
          </w:p>
        </w:tc>
      </w:tr>
      <w:tr>
        <w:trPr>
          <w:cantSplit/>
        </w:trPr>
        <w:tc>
          <w:tcPr>
            <w:tcW w:type="dxa" w:w="20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RiskIncidents</w:t>
            </w:r>
          </w:p>
        </w:tc>
        <w:tc>
          <w:tcPr>
            <w:tcW w:type="dxa" w:w="50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risk-to-incident relationship</w:t>
            </w:r>
          </w:p>
        </w:tc>
        <w:tc>
          <w:tcPr>
            <w:tcW w:type="dxa" w:w="316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RiskID + IncidentID; bridge</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IncidentActions</w:t>
            </w:r>
          </w:p>
        </w:tc>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incident-to-action relationship</w:t>
            </w:r>
          </w:p>
        </w:tc>
        <w:tc>
          <w:tcPr>
            <w:tcW w:type="dxa" w:w="316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IncidentID + ActionID; optional bridge</w:t>
            </w:r>
          </w:p>
        </w:tc>
      </w:tr>
    </w:tbl>
    <w:p>
      <w:pPr>
        <w:pStyle w:val="Heading1"/>
      </w:pPr>
      <w:r>
        <w:t>How to read the schemas</w:t>
      </w:r>
    </w:p>
    <w:p>
      <w:r>
        <w:t>PK means primary key: a value that uniquely identifies a row. FK means foreign key: a value that refers to a row in another table. A bridge uses a unique pair of IDs to represent a relationship. Dates and currency amounts should be stored as native Excel values; identifiers should be stored as text.</w:t>
      </w:r>
    </w:p>
    <w:p>
      <w:r>
        <w:t>These are operational table designs for an Excel pseudo-database. The four main tables contain different kinds of facts, but they do not form a finished reporting star schema by themselves. RiskRegister stores current state and also supplies the descriptive risk information needed to analyze related actions and incidents. The reporting model can derive dimensions and measures from these source tables.</w:t>
      </w:r>
    </w:p>
    <w:p>
      <w:pPr>
        <w:pStyle w:val="Heading1"/>
      </w:pPr>
      <w:r>
        <w:t>Where the data will live</w:t>
      </w:r>
    </w:p>
    <w:p>
      <w:r>
        <w:t>Keep the operational records and manually assigned risk-to-action and risk-to-incident mappings in Excel. Date and category dimensions can be generated in the report model. Owner details, sprint dates and goals, and approved category definitions need a maintained source. Small Excel lookup tables can also supply dropdowns for consistent data entry.</w:t>
      </w:r>
    </w:p>
    <w:p>
      <w:r>
        <w:t>The original Riskiness Index score belongs to its index item. It must not be summed across all linked risks, as several risk records may refer to the same item. Likelihood, magnitude and tolerability remain separate assessments required by the Part 3 template; this schema does not introduce an additional numerical scoring matrix.</w:t>
      </w:r>
    </w:p>
    <w:p>
      <w:pPr>
        <w:pStyle w:val="Heading1"/>
        <w:pageBreakBefore/>
      </w:pPr>
      <w:r>
        <w:t>RiskRegister</w:t>
      </w:r>
    </w:p>
    <w:p>
      <w:r>
        <w:t>Grain: one identified risk. RiskID is permanent; the remaining fields describe the current position. A risk record covers reference, nature, potential impact, tolerability and existing controls.</w:t>
      </w:r>
    </w:p>
    <w:tbl>
      <w:tblPr>
        <w:tblW w:type="auto" w:w="0"/>
        <w:tblLayout w:type="fixed"/>
        <w:tblLook w:firstColumn="1" w:firstRow="1" w:lastColumn="0" w:lastRow="0" w:noHBand="0" w:noVBand="1" w:val="04A0"/>
      </w:tblPr>
      <w:tblGrid>
        <w:gridCol w:w="2808"/>
        <w:gridCol w:w="2304"/>
        <w:gridCol w:w="5112"/>
      </w:tblGrid>
      <w:tr>
        <w:trPr>
          <w:cantSplit/>
          <w:tblHeader/>
        </w:trPr>
        <w:tc>
          <w:tcPr>
            <w:tcW w:type="dxa" w:w="28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Type and key</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PK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Permanent identifier, for example R-005.</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RiskCode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unique if assigned</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Approved descriptive code; may be blank while provisional.</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RiskTitle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Short description for lists and charts.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RiskDescription</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 event, causes and triggers.</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ExperienceEvidence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Relevant internal or external experience and references.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IndexItemID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IndexItems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Primary Riskiness Index item.</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PrimarySourceID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RiskSources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Primary cause classification.</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OwnerID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Person or role accountable for the risk.</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ObjectiveDependency</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Objective or essential dependency threatened.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PotentialImpact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Expected consequences, including effects across FIRM areas.</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LikelihoodAssessment</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Likelihood assessment and supporting basis.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MagnitudeAssessment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Severity assessment and supporting basis.</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PriorityID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Priorities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Current response priority.</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TolerabilityID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Tolerability</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Current decision against risk appetite.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TolerabilityRationale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Reasoning, controllability and relevant limits.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ExistingControls</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Controls currently operating.</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ControlAssessment</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Effectiveness, evidence, gaps and remaining exposure.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RiskStatusID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RiskStatuses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 lifecycle status.</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ClassificationStatusID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ClassificationStatuses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Provisional or Approved.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ClassificationReviewedByID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Reviewer of the classification.</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ClassificationReviewDate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classification was approved.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IdentifiedDate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the risk was recorded.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LastReviewDate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Most recent substantive review.</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NextReviewDate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 until scheduled</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Next scheduled review.</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RetiredDate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the risk ceased to apply.</w:t>
            </w:r>
          </w:p>
        </w:tc>
      </w:tr>
    </w:tbl>
    <w:p>
      <w:r>
        <w:t>Classification approval confirms the coding decision; it does not mean the risk is tolerable or resolved. Approved classifications require a reviewer and approval date. RiskCode changes are logged while RiskID remains unchanged.</w:t>
      </w:r>
    </w:p>
    <w:p>
      <w:pPr>
        <w:pStyle w:val="Heading1"/>
        <w:pageBreakBefore/>
      </w:pPr>
      <w:r>
        <w:t>ActionBacklog</w:t>
      </w:r>
    </w:p>
    <w:p>
      <w:r>
        <w:t>Grain: one action. Record an action once, even when it addresses several risks. RiskActions supplies the links. Completing an action does not automatically retire its associated risks.</w:t>
      </w:r>
    </w:p>
    <w:tbl>
      <w:tblPr>
        <w:tblW w:type="auto" w:w="0"/>
        <w:tblLayout w:type="fixed"/>
        <w:tblLook w:firstColumn="1" w:firstRow="1" w:lastColumn="0" w:lastRow="0" w:noHBand="0" w:noVBand="1" w:val="04A0"/>
      </w:tblPr>
      <w:tblGrid>
        <w:gridCol w:w="2808"/>
        <w:gridCol w:w="2304"/>
        <w:gridCol w:w="5112"/>
      </w:tblGrid>
      <w:tr>
        <w:trPr>
          <w:cantSplit/>
          <w:tblHeader/>
        </w:trPr>
        <w:tc>
          <w:tcPr>
            <w:tcW w:type="dxa" w:w="28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Type and key</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PK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Permanent action identifier.</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ActionTitle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Short action name.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ActionDescription</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Work to be completed.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ActionOwnerID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Person responsible for delivery.</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ActionStatusID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ActionStatuses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Current action progress.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PriorityID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Priorities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 priority.</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SprintID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Sprints;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Current planned sprint.</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CreatedDate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the action was recorded.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DueDate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 until planned</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Agreed completion deadline.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CompletedDate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Actual completion date.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CompletionCriteria</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Evidence required before completion.</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CompletionEvidence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 / reference</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Test results, documents or other proof.</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EstimatedCost</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Currency;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Expected expenditure.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ActualCost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Currency;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Expenditure incurred.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EstimatedHours</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Decimal;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Expected staff effort.</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ActualHours</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Decimal;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Recorded staff effort.</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ApprovalStatusID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ApprovalStatuses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Whether required authorization has been granted.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ApprovedByID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Approver where required.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ApprovalDate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authorized.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BlockerNotes</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Obstacles or support required.</w:t>
            </w:r>
          </w:p>
        </w:tc>
      </w:tr>
    </w:tbl>
    <w:p>
      <w:pPr>
        <w:pStyle w:val="Heading1"/>
      </w:pPr>
      <w:r>
        <w:t>Action reporting rules</w:t>
      </w:r>
    </w:p>
    <w:p>
      <w:r>
        <w:t>An overdue action has a due date before the reporting date and is neither Complete nor Cancelled. Completion should be supported by evidence. Blank costs or hours mean unknown or not yet recorded; zero means none. Use one documented currency, initially CAD, for monetary fields.</w:t>
      </w:r>
    </w:p>
    <w:p>
      <w:r>
        <w:t>SprintID records the current assignment. If actions move between sprints, this field alone will not preserve the earlier assignments. Sprint history can be added when the database is built; the RiskRegister change log below does not automatically cover action changes.</w:t>
      </w:r>
    </w:p>
    <w:p>
      <w:pPr>
        <w:pStyle w:val="Heading1"/>
        <w:pageBreakBefore/>
      </w:pPr>
      <w:r>
        <w:t>ChangeRegister</w:t>
      </w:r>
    </w:p>
    <w:p>
      <w:r>
        <w:t>Grain: one change to one field in one risk record. This table preserves the audit history of risk data. It is separate from the operational approval process for changes such as cloud deployment or supplier replacement.</w:t>
      </w:r>
    </w:p>
    <w:tbl>
      <w:tblPr>
        <w:tblW w:type="auto" w:w="0"/>
        <w:tblLayout w:type="fixed"/>
        <w:tblLook w:firstColumn="1" w:firstRow="1" w:lastColumn="0" w:lastRow="0" w:noHBand="0" w:noVBand="1" w:val="04A0"/>
      </w:tblPr>
      <w:tblGrid>
        <w:gridCol w:w="2808"/>
        <w:gridCol w:w="2304"/>
        <w:gridCol w:w="5112"/>
      </w:tblGrid>
      <w:tr>
        <w:trPr>
          <w:cantSplit/>
          <w:tblHeader/>
        </w:trPr>
        <w:tc>
          <w:tcPr>
            <w:tcW w:type="dxa" w:w="28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Type and key</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ChangeID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PK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Unique change entry.</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ChangeSetID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Groups field changes made as part of one decision.</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RiskRegister</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 affected.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ChangedAt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Date/time</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the change was recorded.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ChangedByID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Person making the change.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FieldChanged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Controlled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Exact risk field name, such as RiskCode or PriorityID.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PreviousValue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may be blank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Value before the change.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NewValue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may be blank</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Value after the change.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ChangeReason</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Reason and supporting evidence.</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ApprovedByID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Approver where required.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ApprovalDate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approval was given.</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SupportingReference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 link;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Related decision, review or supporting evidence.</w:t>
            </w:r>
          </w:p>
        </w:tc>
      </w:tr>
    </w:tbl>
    <w:p>
      <w:pPr>
        <w:pStyle w:val="Heading1"/>
      </w:pPr>
      <w:r>
        <w:t>Example of a grouped change</w:t>
      </w:r>
    </w:p>
    <w:tbl>
      <w:tblPr>
        <w:tblW w:type="auto" w:w="0"/>
        <w:tblLayout w:type="fixed"/>
        <w:tblLook w:firstColumn="1" w:firstRow="1" w:lastColumn="0" w:lastRow="0" w:noHBand="0" w:noVBand="1" w:val="04A0"/>
      </w:tblPr>
      <w:tblGrid>
        <w:gridCol w:w="1080"/>
        <w:gridCol w:w="1296"/>
        <w:gridCol w:w="1008"/>
        <w:gridCol w:w="2304"/>
        <w:gridCol w:w="2160"/>
        <w:gridCol w:w="2376"/>
      </w:tblGrid>
      <w:tr>
        <w:trPr>
          <w:cantSplit/>
          <w:tblHeader/>
        </w:trPr>
        <w:tc>
          <w:tcPr>
            <w:tcW w:type="dxa" w:w="108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ChangeID</w:t>
            </w:r>
          </w:p>
        </w:tc>
        <w:tc>
          <w:tcPr>
            <w:tcW w:type="dxa" w:w="1296"/>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ChangeSetID</w:t>
            </w:r>
          </w:p>
        </w:tc>
        <w:tc>
          <w:tcPr>
            <w:tcW w:type="dxa" w:w="10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RiskID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FieldChanged</w:t>
            </w:r>
          </w:p>
        </w:tc>
        <w:tc>
          <w:tcPr>
            <w:tcW w:type="dxa" w:w="216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PreviousValue</w:t>
            </w:r>
          </w:p>
        </w:tc>
        <w:tc>
          <w:tcPr>
            <w:tcW w:type="dxa" w:w="2376"/>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NewValue</w:t>
            </w:r>
          </w:p>
        </w:tc>
      </w:tr>
      <w:tr>
        <w:trPr>
          <w:cantSplit/>
        </w:trPr>
        <w:tc>
          <w:tcPr>
            <w:tcW w:type="dxa" w:w="108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CH-001</w:t>
            </w:r>
          </w:p>
        </w:tc>
        <w:tc>
          <w:tcPr>
            <w:tcW w:type="dxa" w:w="129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CS-001</w:t>
            </w:r>
          </w:p>
        </w:tc>
        <w:tc>
          <w:tcPr>
            <w:tcW w:type="dxa" w:w="10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R-005</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PrimarySourceID</w:t>
            </w:r>
          </w:p>
        </w:tc>
        <w:tc>
          <w:tcPr>
            <w:tcW w:type="dxa" w:w="216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w:t>
            </w:r>
          </w:p>
        </w:tc>
        <w:tc>
          <w:tcPr>
            <w:tcW w:type="dxa" w:w="237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w:t>
            </w:r>
          </w:p>
        </w:tc>
      </w:tr>
      <w:tr>
        <w:trPr>
          <w:cantSplit/>
        </w:trPr>
        <w:tc>
          <w:tcPr>
            <w:tcW w:type="dxa" w:w="108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CH-002</w:t>
            </w:r>
          </w:p>
        </w:tc>
        <w:tc>
          <w:tcPr>
            <w:tcW w:type="dxa" w:w="129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CS-001</w:t>
            </w:r>
          </w:p>
        </w:tc>
        <w:tc>
          <w:tcPr>
            <w:tcW w:type="dxa" w:w="10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R-005</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RiskCode</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F3-T-01</w:t>
            </w:r>
          </w:p>
        </w:tc>
        <w:tc>
          <w:tcPr>
            <w:tcW w:type="dxa" w:w="23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F3-C-01</w:t>
            </w:r>
          </w:p>
        </w:tc>
      </w:tr>
    </w:tbl>
    <w:p>
      <w:r>
        <w:t>Illustrative only: both entries belong to the same classification decision. The complete entries would also contain the date, person, reason and any required approval. Changes to foreign-key fields should record the relevant IDs consistently.</w:t>
      </w:r>
    </w:p>
    <w:p>
      <w:pPr>
        <w:pStyle w:val="Heading1"/>
      </w:pPr>
      <w:r>
        <w:t>History rules</w:t>
      </w:r>
    </w:p>
    <w:p>
      <w:r>
        <w:t>Retain historical entries and retired codes. Correct an erroneous log entry through a documented correction rather than silently replacing its history. If the team later wants this table to cover actions and incidents as well, its entity identification and validation rules will need to be extended explicitly.</w:t>
      </w:r>
    </w:p>
    <w:p>
      <w:pPr>
        <w:pStyle w:val="Heading1"/>
        <w:pageBreakBefore/>
      </w:pPr>
      <w:r>
        <w:t>IncidentLog</w:t>
      </w:r>
    </w:p>
    <w:p>
      <w:r>
        <w:t>Grain: one actual incident or near miss. An incident may relate to several risks and can be recorded before those links are fully understood. RiskIncidents records the relationships after investigation.</w:t>
      </w:r>
    </w:p>
    <w:tbl>
      <w:tblPr>
        <w:tblW w:type="auto" w:w="0"/>
        <w:tblLayout w:type="fixed"/>
        <w:tblLook w:firstColumn="1" w:firstRow="1" w:lastColumn="0" w:lastRow="0" w:noHBand="0" w:noVBand="1" w:val="04A0"/>
      </w:tblPr>
      <w:tblGrid>
        <w:gridCol w:w="2808"/>
        <w:gridCol w:w="2304"/>
        <w:gridCol w:w="5112"/>
      </w:tblGrid>
      <w:tr>
        <w:trPr>
          <w:cantSplit/>
          <w:tblHeader/>
        </w:trPr>
        <w:tc>
          <w:tcPr>
            <w:tcW w:type="dxa" w:w="28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Type and key</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PK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Permanent incident identifier.</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IncidentTitle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Short incident description.</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IncidentTypeID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IncidentTypes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 or Near Miss.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IncidentDescription</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What happened.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OccurredAt</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Date/time; optional if unknown</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it occurred.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ReportedAt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Date/time</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it was reported.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ReportedByID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Reporter.</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IncidentOwnerID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Person coordinating the response.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IncidentStatusID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IncidentStatuses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Response progress.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ActualImpact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Observed consequences.</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EstimatedLoss</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Currency;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Preliminary estimate of loss.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ConfirmedLoss</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Currency;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Established loss amount.</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DowntimeMinutes</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Number;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Duration of service interruption.</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ImmediateResponse</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Containment and initial action.</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EscalatedAt</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Date/time; optional</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When escalation occurred.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EscalatedToID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Escalation recipient.</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CauseFindings</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 optional until investigated</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Investigation findings.</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ClosedAt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Date/time; optional</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Closure date.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LessonsLearned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 optional until reviewed</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Improvements needed to prevent recurrence.</w:t>
            </w:r>
          </w:p>
        </w:tc>
      </w:tr>
    </w:tbl>
    <w:p>
      <w:pPr>
        <w:pStyle w:val="Heading1"/>
      </w:pPr>
      <w:r>
        <w:t>Incident reporting rules</w:t>
      </w:r>
    </w:p>
    <w:p>
      <w:r>
        <w:t>Keep unknown losses and downtime blank. EstimatedLoss and ConfirmedLoss are different states of the same loss and should not be added together. When an incident links to multiple risks, count distinct IncidentIDs and avoid duplicating its loss across risk categories. If financial allocation by risk is required later, a documented allocation rule will be needed.</w:t>
      </w:r>
    </w:p>
    <w:p>
      <w:pPr>
        <w:pStyle w:val="Heading1"/>
        <w:pageBreakBefore/>
      </w:pPr>
      <w:r>
        <w:t>RiskReviews</w:t>
      </w:r>
    </w:p>
    <w:p>
      <w:r>
        <w:t>Proposed addition. Grain: one review of one risk. A review is recorded even when the decision is to retain the existing assessment and controls. This provides evidence that monitoring took place.</w:t>
      </w:r>
    </w:p>
    <w:tbl>
      <w:tblPr>
        <w:tblW w:type="auto" w:w="0"/>
        <w:tblLayout w:type="fixed"/>
        <w:tblLook w:firstColumn="1" w:firstRow="1" w:lastColumn="0" w:lastRow="0" w:noHBand="0" w:noVBand="1" w:val="04A0"/>
      </w:tblPr>
      <w:tblGrid>
        <w:gridCol w:w="2808"/>
        <w:gridCol w:w="2304"/>
        <w:gridCol w:w="5112"/>
      </w:tblGrid>
      <w:tr>
        <w:trPr>
          <w:cantSplit/>
          <w:tblHeader/>
        </w:trPr>
        <w:tc>
          <w:tcPr>
            <w:tcW w:type="dxa" w:w="280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w:t>
            </w:r>
          </w:p>
        </w:tc>
        <w:tc>
          <w:tcPr>
            <w:tcW w:type="dxa" w:w="230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Type and key</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ReviewID</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PK</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Permanent review identifier.</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RiskRegister</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 reviewed.</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of the review.</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ReviewerID</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Text; FK → Owners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Person responsible for the review.</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Findings</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Evidence considered, control results and issues identified.</w:t>
            </w:r>
          </w:p>
        </w:tc>
      </w:tr>
      <w:tr>
        <w:trPr>
          <w:cantSplit/>
        </w:trPr>
        <w:tc>
          <w:tcPr>
            <w:tcW w:type="dxa" w:w="280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Decision</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Long text</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Agreed outcome, including no change where appropriate.</w:t>
            </w:r>
          </w:p>
        </w:tc>
      </w:tr>
      <w:tr>
        <w:trPr>
          <w:cantSplit/>
        </w:trPr>
        <w:tc>
          <w:tcPr>
            <w:tcW w:type="dxa" w:w="280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NextReviewDate</w:t>
            </w:r>
          </w:p>
        </w:tc>
        <w:tc>
          <w:tcPr>
            <w:tcW w:type="dxa" w:w="230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Next planned review date.</w:t>
            </w:r>
          </w:p>
        </w:tc>
      </w:tr>
    </w:tbl>
    <w:p>
      <w:r>
        <w:t>If a review changes risk data, the related field changes are also recorded in ChangeRegister. RiskRegister.LastReviewDate and NextReviewDate should agree with the latest applicable review. This table records review evidence; it is not yet a complete historical snapshot of every assessment field.</w:t>
      </w:r>
    </w:p>
    <w:p>
      <w:pPr>
        <w:pStyle w:val="Heading1"/>
      </w:pPr>
      <w:r>
        <w:t>Linking tables</w:t>
      </w:r>
    </w:p>
    <w:tbl>
      <w:tblPr>
        <w:tblW w:type="auto" w:w="0"/>
        <w:tblLayout w:type="fixed"/>
        <w:tblLook w:firstColumn="1" w:firstRow="1" w:lastColumn="0" w:lastRow="0" w:noHBand="0" w:noVBand="1" w:val="04A0"/>
      </w:tblPr>
      <w:tblGrid>
        <w:gridCol w:w="1728"/>
        <w:gridCol w:w="3312"/>
        <w:gridCol w:w="1872"/>
        <w:gridCol w:w="3312"/>
      </w:tblGrid>
      <w:tr>
        <w:trPr>
          <w:cantSplit/>
          <w:tblHeader/>
        </w:trPr>
        <w:tc>
          <w:tcPr>
            <w:tcW w:type="dxa" w:w="1728"/>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Table</w:t>
            </w:r>
          </w:p>
        </w:tc>
        <w:tc>
          <w:tcPr>
            <w:tcW w:type="dxa" w:w="33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Fields and types</w:t>
            </w:r>
          </w:p>
        </w:tc>
        <w:tc>
          <w:tcPr>
            <w:tcW w:type="dxa" w:w="187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Unique key</w:t>
            </w:r>
          </w:p>
        </w:tc>
        <w:tc>
          <w:tcPr>
            <w:tcW w:type="dxa" w:w="33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Relationship</w:t>
            </w:r>
          </w:p>
        </w:tc>
      </w:tr>
      <w:tr>
        <w:trPr>
          <w:cantSplit/>
        </w:trPr>
        <w:tc>
          <w:tcPr>
            <w:tcW w:type="dxa" w:w="172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RiskActions</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 text, FK → RiskRegister</w:t>
              <w:br/>
              <w:t>ActionID: text, FK → ActionBacklog</w:t>
            </w:r>
          </w:p>
        </w:tc>
        <w:tc>
          <w:tcPr>
            <w:tcW w:type="dxa" w:w="18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 + ActionID</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One action can address several risks; one risk can have several actions.</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RiskIncidents</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 text, FK → RiskRegister</w:t>
              <w:br/>
              <w:t>IncidentID: text, FK → IncidentLog</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RiskID + IncidentID</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One incident can involve several risks; one risk can have several incidents.</w:t>
            </w:r>
          </w:p>
        </w:tc>
      </w:tr>
      <w:tr>
        <w:trPr>
          <w:cantSplit/>
        </w:trPr>
        <w:tc>
          <w:tcPr>
            <w:tcW w:type="dxa" w:w="1728"/>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IncidentActions</w:t>
              <w:br/>
              <w:t>Optional</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IncidentID: text, FK → IncidentLog</w:t>
              <w:br/>
              <w:t>ActionID: text, FK → ActionBacklog</w:t>
            </w:r>
          </w:p>
        </w:tc>
        <w:tc>
          <w:tcPr>
            <w:tcW w:type="dxa" w:w="18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IncidentID + ActionID</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Links incidents with the actions arising from them.</w:t>
            </w:r>
          </w:p>
        </w:tc>
      </w:tr>
    </w:tbl>
    <w:p>
      <w:r>
        <w:t>Store one relationship per row and prohibit duplicate pairs. Do not put several IDs into one cell. Every linked ID must exist in its parent table. If a report model generates these bridges, the underlying mappings must still be recorded in the source; the reporting model cannot infer them reliably.</w:t>
      </w:r>
    </w:p>
    <w:p>
      <w:pPr>
        <w:pStyle w:val="Heading1"/>
        <w:pageBreakBefore/>
      </w:pPr>
      <w:r>
        <w:t>Dimensions and lookup tables</w:t>
      </w:r>
    </w:p>
    <w:p>
      <w:r>
        <w:t>These tables provide consistent categories and descriptions. They can be maintained as separate named tables on an Excel Lookups sheet or derived in the reporting model where the source already contains the necessary information. Key fields are text unless stated otherwise. Category values below are proposals to confirm, not approved risk limits.</w:t>
      </w:r>
    </w:p>
    <w:tbl>
      <w:tblPr>
        <w:tblW w:type="auto" w:w="0"/>
        <w:tblLayout w:type="fixed"/>
        <w:tblLook w:firstColumn="1" w:firstRow="1" w:lastColumn="0" w:lastRow="0" w:noHBand="0" w:noVBand="1" w:val="04A0"/>
      </w:tblPr>
      <w:tblGrid>
        <w:gridCol w:w="1944"/>
        <w:gridCol w:w="3816"/>
        <w:gridCol w:w="4464"/>
      </w:tblGrid>
      <w:tr>
        <w:trPr>
          <w:cantSplit/>
          <w:tblHeader/>
        </w:trPr>
        <w:tc>
          <w:tcPr>
            <w:tcW w:type="dxa" w:w="194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Table</w:t>
            </w:r>
          </w:p>
        </w:tc>
        <w:tc>
          <w:tcPr>
            <w:tcW w:type="dxa" w:w="3816"/>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Fields</w:t>
            </w:r>
          </w:p>
        </w:tc>
        <w:tc>
          <w:tcPr>
            <w:tcW w:type="dxa" w:w="446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Purpose and example values</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IndexItems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IndexItemID (PK); FIRMArea; ItemName; OriginalIndexScore (number)</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Maps to Part 1. Example: 1.3, Financial, Internal Controls and Credit, 4. FIRM area can remain an attribute here.</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RiskSources</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SourceID (PK); SourceName; Definition</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P People; T Technology; S Suppliers; E External Conditions; G Governance and Processes; C Conduct.</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Owners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OwnerID (PK); OwnerNameOrRole; Department; IsActive (Boolean)</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Used in different roles: risk owner, action owner, reporter, reviewer and approver. Choose a consistent person/role convention.</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Priorities</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PriorityID (PK); PriorityLabel; Definition; SortOrder (integer)</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Consistent response priorities with agreed definitions. Do not infer priority from the sequence in RiskCode.</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RiskStatuses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RiskStatusID (PK); StatusLabel; Definition</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Example: Open, Monitoring, Retired. These describe the risk lifecycle.</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ActionStatuses</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ActionStatusID (PK); StatusLabel; Definition</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Proposed, Planned, In Progress, Blocked, Complete, Cancelled.</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IncidentStatuses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IncidentStatusID (PK); StatusLabel; Definition</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Reported, Investigating, Responding, Closed.</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ClassificationStatuses</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ClassificationStatusID (PK); StatusLabel</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Provisional or Approved. Approval concerns classification only.</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ApprovalStatuses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ApprovalStatusID (PK); StatusLabel</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Not Required, Pending, Approved, Rejected. Applies to action authorization.</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Tolerability</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TolerabilityID (PK); TolerabilityLabel; Definition</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Under Assessment, Tolerable, Not Tolerable. Rationale and conditions belong in the risk record.</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IncidentTypes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IncidentTypeID (PK); TypeLabel</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 or Near Miss.</w:t>
            </w:r>
          </w:p>
        </w:tc>
      </w:tr>
      <w:tr>
        <w:trPr>
          <w:cantSplit/>
        </w:trPr>
        <w:tc>
          <w:tcPr>
            <w:tcW w:type="dxa" w:w="19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Sprints</w:t>
            </w:r>
          </w:p>
        </w:tc>
        <w:tc>
          <w:tcPr>
            <w:tcW w:type="dxa" w:w="38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SprintID (PK); StartDate (date); EndDate (date); SprintGoal</w:t>
            </w:r>
          </w:p>
        </w:tc>
        <w:tc>
          <w:tcPr>
            <w:tcW w:type="dxa" w:w="44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Describes each weekly planning cycle.</w:t>
            </w:r>
          </w:p>
        </w:tc>
      </w:tr>
      <w:tr>
        <w:trPr>
          <w:cantSplit/>
        </w:trPr>
        <w:tc>
          <w:tcPr>
            <w:tcW w:type="dxa" w:w="194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Dates</w:t>
            </w:r>
          </w:p>
        </w:tc>
        <w:tc>
          <w:tcPr>
            <w:tcW w:type="dxa" w:w="381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Date (date; PK); WeekStartDate (date); MonthNumber (integer); MonthName; Quarter; Year (integer)</w:t>
            </w:r>
          </w:p>
        </w:tc>
        <w:tc>
          <w:tcPr>
            <w:tcW w:type="dxa" w:w="44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Generated calendar for time-based analysis. Use a consistent week convention.</w:t>
            </w:r>
          </w:p>
        </w:tc>
      </w:tr>
    </w:tbl>
    <w:p>
      <w:pPr>
        <w:pStyle w:val="Heading1"/>
        <w:pageBreakBefore/>
      </w:pPr>
      <w:r>
        <w:t>Relationships and implementation notes</w:t>
      </w:r>
    </w:p>
    <w:tbl>
      <w:tblPr>
        <w:tblW w:type="auto" w:w="0"/>
        <w:tblLayout w:type="fixed"/>
        <w:tblLook w:firstColumn="1" w:firstRow="1" w:lastColumn="0" w:lastRow="0" w:noHBand="0" w:noVBand="1" w:val="04A0"/>
      </w:tblPr>
      <w:tblGrid>
        <w:gridCol w:w="2592"/>
        <w:gridCol w:w="5112"/>
        <w:gridCol w:w="2520"/>
      </w:tblGrid>
      <w:tr>
        <w:trPr>
          <w:cantSplit/>
          <w:tblHeader/>
        </w:trPr>
        <w:tc>
          <w:tcPr>
            <w:tcW w:type="dxa" w:w="259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Parent</w:t>
            </w:r>
          </w:p>
        </w:tc>
        <w:tc>
          <w:tcPr>
            <w:tcW w:type="dxa" w:w="51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Child</w:t>
            </w:r>
          </w:p>
        </w:tc>
        <w:tc>
          <w:tcPr>
            <w:tcW w:type="dxa" w:w="252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Cardinality</w:t>
            </w:r>
          </w:p>
        </w:tc>
      </w:tr>
      <w:tr>
        <w:trPr>
          <w:cantSplit/>
        </w:trPr>
        <w:tc>
          <w:tcPr>
            <w:tcW w:type="dxa" w:w="259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IndexItems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 via IndexItemID</w:t>
            </w:r>
          </w:p>
        </w:tc>
        <w:tc>
          <w:tcPr>
            <w:tcW w:type="dxa" w:w="25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RiskSources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 via PrimarySourceID</w:t>
            </w:r>
          </w:p>
        </w:tc>
        <w:tc>
          <w:tcPr>
            <w:tcW w:type="dxa" w:w="25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Owners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Main tables through their owner, reviewer and approver fields</w:t>
            </w:r>
          </w:p>
        </w:tc>
        <w:tc>
          <w:tcPr>
            <w:tcW w:type="dxa" w:w="25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 for each role</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Priorities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 and ActionBacklog</w:t>
            </w:r>
          </w:p>
        </w:tc>
        <w:tc>
          <w:tcPr>
            <w:tcW w:type="dxa" w:w="25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Status and tolerability lookups</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Corresponding main table fields</w:t>
            </w:r>
          </w:p>
        </w:tc>
        <w:tc>
          <w:tcPr>
            <w:tcW w:type="dxa" w:w="25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Sprints</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ActionBacklog via SprintID</w:t>
            </w:r>
          </w:p>
        </w:tc>
        <w:tc>
          <w:tcPr>
            <w:tcW w:type="dxa" w:w="25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ChangeRegister and RiskReviews via RiskID</w:t>
            </w:r>
          </w:p>
        </w:tc>
        <w:tc>
          <w:tcPr>
            <w:tcW w:type="dxa" w:w="25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One to many</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 and ActionBacklog</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RiskActions</w:t>
            </w:r>
          </w:p>
        </w:tc>
        <w:tc>
          <w:tcPr>
            <w:tcW w:type="dxa" w:w="25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Each parent has one-to-many links to the bridge</w:t>
            </w:r>
          </w:p>
        </w:tc>
      </w:tr>
      <w:tr>
        <w:trPr>
          <w:cantSplit/>
        </w:trPr>
        <w:tc>
          <w:tcPr>
            <w:tcW w:type="dxa" w:w="259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RiskRegister and IncidentLog</w:t>
            </w:r>
          </w:p>
        </w:tc>
        <w:tc>
          <w:tcPr>
            <w:tcW w:type="dxa" w:w="51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RiskIncidents</w:t>
            </w:r>
          </w:p>
        </w:tc>
        <w:tc>
          <w:tcPr>
            <w:tcW w:type="dxa" w:w="25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Each parent has one-to-many links to the bridge</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IncidentLog and ActionBacklog</w:t>
            </w:r>
          </w:p>
        </w:tc>
        <w:tc>
          <w:tcPr>
            <w:tcW w:type="dxa" w:w="51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IncidentActions, if used</w:t>
            </w:r>
          </w:p>
        </w:tc>
        <w:tc>
          <w:tcPr>
            <w:tcW w:type="dxa" w:w="25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20"/>
              </w:rPr>
              <w:t>Each parent has one-to-many links to the bridge</w:t>
            </w:r>
          </w:p>
        </w:tc>
      </w:tr>
    </w:tbl>
    <w:p>
      <w:pPr>
        <w:pStyle w:val="Heading1"/>
      </w:pPr>
      <w:r>
        <w:t>Excel entry and validation</w:t>
      </w:r>
    </w:p>
    <w:p>
      <w:r>
        <w:t>Use one named Excel Table per dataset, one header row and one value per cell. Keep keys unique and permanent; do not derive IDs from row numbers. Validate foreign keys against parent tables and retain retired records.</w:t>
      </w:r>
    </w:p>
    <w:p>
      <w:r>
        <w:t>Leave unknown or inapplicable optional fields blank. Flag incomplete provisional assessments. Use consistent formats and units for dates, costs and hours.</w:t>
      </w:r>
    </w:p>
    <w:p>
      <w:pPr>
        <w:pStyle w:val="Heading1"/>
      </w:pPr>
      <w:r>
        <w:t>Reporting model</w:t>
      </w:r>
    </w:p>
    <w:p>
      <w:r>
        <w:t>Generate calendar and category dimensions from source fields where practical. Model date and owner roles explicitly, such as review date versus identified date and action owner versus approver. Configure bridge filtering deliberately; bridges alone do not ensure correct filters.</w:t>
      </w:r>
    </w:p>
    <w:p>
      <w:r>
        <w:t>Do not sum action costs or incident losses after expanding them into multiple risk links. Use distinct counts for linked records and define allocation rules before attributing shared costs to categories. The Excel tables describe operational records; the analytical model should preserve each table’s grain.</w:t>
      </w:r>
    </w:p>
    <w:p>
      <w:pPr>
        <w:pStyle w:val="Heading1"/>
      </w:pPr>
      <w:r>
        <w:t>Future history and scope</w:t>
      </w:r>
    </w:p>
    <w:p>
      <w:r>
        <w:t>Current-state fields cannot by themselves show what risk exposure looked like in earlier weeks. Historical reporting may require dated assessment snapshots or additional review fields. Sprint reassignment history and a separate operational change-approval log are also possible later additions. They are not included as fully designed tables in this initial schema.</w:t>
      </w:r>
    </w:p>
    <w:p>
      <w:r>
        <w:t>The proposed risk inventory still needs review for overlap, wording and completeness. Classification definitions, mandatory-field rules and final lookup values should be agreed before the workbook is populated at scale.</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Working schema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ITrustU  |  Risk Record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ITrustU Risk Record Database Schemas</dc:title>
  <dc:subject/>
  <dc:creator>ITrustU</dc:creator>
  <cp:keywords/>
  <dc:description>generated by python-docx</dc:description>
  <cp:lastModifiedBy/>
  <cp:revision>1</cp:revision>
  <dcterms:created xsi:type="dcterms:W3CDTF">2013-12-23T23:15:00Z</dcterms:created>
  <dcterms:modified xsi:type="dcterms:W3CDTF">2013-12-23T23:15:00Z</dcterms:modified>
  <cp:category/>
</cp:coreProperties>
</file>