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DA52" w14:textId="585A4C0E" w:rsidR="004F3F45" w:rsidRPr="005A74AA" w:rsidRDefault="00BD49CB" w:rsidP="005A74AA">
      <w:pPr>
        <w:pStyle w:val="Title"/>
        <w:rPr>
          <w:lang w:val="en-GB"/>
        </w:rPr>
      </w:pPr>
      <w:r w:rsidRPr="005A74AA">
        <w:rPr>
          <w:lang w:val="en-US"/>
        </w:rPr>
        <w:t>Risk attitude/appetite</w:t>
      </w:r>
    </w:p>
    <w:p w14:paraId="404A7F3F" w14:textId="6492ABA9" w:rsidR="004F3F45" w:rsidRPr="005A74AA" w:rsidRDefault="00E948BA" w:rsidP="005A74AA">
      <w:pPr>
        <w:rPr>
          <w:b/>
          <w:bCs/>
          <w:sz w:val="28"/>
          <w:szCs w:val="28"/>
          <w:lang w:val="en-GB"/>
        </w:rPr>
      </w:pPr>
      <w:r w:rsidRPr="005A74AA">
        <w:rPr>
          <w:b/>
          <w:bCs/>
          <w:sz w:val="28"/>
          <w:szCs w:val="28"/>
          <w:lang w:val="en-GB"/>
        </w:rPr>
        <w:t>How willing is ITrustU to take risks?</w:t>
      </w:r>
    </w:p>
    <w:p w14:paraId="64BB061F" w14:textId="5135CAA4" w:rsidR="003E1E64" w:rsidRPr="003E1E64" w:rsidRDefault="003E1E64" w:rsidP="003E1E64">
      <w:proofErr w:type="spellStart"/>
      <w:r w:rsidRPr="003E1E64">
        <w:t>ITrustU</w:t>
      </w:r>
      <w:proofErr w:type="spellEnd"/>
      <w:r w:rsidRPr="003E1E64">
        <w:t xml:space="preserve"> is </w:t>
      </w:r>
      <w:r w:rsidR="00422CAC">
        <w:t>one of the l</w:t>
      </w:r>
      <w:r w:rsidRPr="003E1E64">
        <w:t xml:space="preserve">argest insurance </w:t>
      </w:r>
      <w:r w:rsidR="00422CAC" w:rsidRPr="003E1E64">
        <w:t>companies</w:t>
      </w:r>
      <w:r w:rsidRPr="003E1E64">
        <w:t xml:space="preserve"> in Ontario and is backed by the world’s sixth-largest insurance group, Tiva. While this positions our organization well, it does not reduce our susceptibility to risk, and we must exercise additional vigilance when seeking support from our parent organization. Our primary goal is to stabilize essential operations during a critical global pandemic. We need to adapt to rapidly changing customer demand and a highly volatile market while maintaining coordinated and secure company operations as we shift to a remote workflow. </w:t>
      </w:r>
      <w:r w:rsidR="00277C89" w:rsidRPr="00277C89">
        <w:t>We are prepared to accept carefully managed additional costs as we provide staff training to meet changing needs while limiting temporary disruptions to customer service.</w:t>
      </w:r>
    </w:p>
    <w:p w14:paraId="75E6B1D1" w14:textId="77777777" w:rsidR="003E1E64" w:rsidRPr="003E1E64" w:rsidRDefault="003E1E64" w:rsidP="003E1E64">
      <w:r w:rsidRPr="003E1E64">
        <w:t>Service quality may decline because of increased workloads and supply chain disruptions. Staff will need time to adapt to working from home, set up systems to the required standards, and complete necessary training. These disruptions could affect our company’s reputation. Support from Tiva may help recovery, but its availability remains to be confirmed. Temporary service delays may be tolerated within approved limits.</w:t>
      </w:r>
    </w:p>
    <w:p w14:paraId="2E40A7F9" w14:textId="695B32C2" w:rsidR="003E1E64" w:rsidRPr="003E1E64" w:rsidRDefault="003E1E64" w:rsidP="003E1E64">
      <w:r w:rsidRPr="003E1E64">
        <w:t xml:space="preserve">Risks of confidential data leaks and system damage should be minimized. Security should be the priority when choosing remote-work procedures. Such incidents could have a much greater impact on our organizational reputation and finances than a slight decline in service quality. Our organization must maintain a low tolerance for gaps in essential roles. </w:t>
      </w:r>
      <w:r w:rsidR="00422CAC" w:rsidRPr="00422CAC">
        <w:t>We should prioritize retaining and supporting existing employees while remaining prepared to recruit and train replacements where necessary.</w:t>
      </w:r>
    </w:p>
    <w:p w14:paraId="0178B77B" w14:textId="5BE35DC5" w:rsidR="003E1E64" w:rsidRPr="003E1E64" w:rsidRDefault="003E1E64" w:rsidP="003E1E64">
      <w:r w:rsidRPr="003E1E64">
        <w:t xml:space="preserve">Financial risk should remain within </w:t>
      </w:r>
      <w:r w:rsidR="00422CAC">
        <w:t>our</w:t>
      </w:r>
      <w:r w:rsidRPr="003E1E64">
        <w:t xml:space="preserve"> ability to absorb losses while continuing to pay claims and fund essential operations. Our financial risk appetite depends on the assets available to absorb losses, any confirmed government funding, and the financial and technical support we can confirm with Tiva. A volatile market may require us to sell investments to meet immediate cash needs, potentially sacrificing long-term returns or realizing losses.</w:t>
      </w:r>
    </w:p>
    <w:p w14:paraId="1D0669CE" w14:textId="5061659C" w:rsidR="004F3F45" w:rsidRPr="005A74AA" w:rsidRDefault="007D76C6" w:rsidP="005A74AA">
      <w:pPr>
        <w:rPr>
          <w:b/>
          <w:bCs/>
          <w:sz w:val="28"/>
          <w:szCs w:val="28"/>
          <w:lang w:val="en-GB"/>
        </w:rPr>
      </w:pPr>
      <w:r w:rsidRPr="005A74AA">
        <w:rPr>
          <w:b/>
          <w:bCs/>
          <w:sz w:val="28"/>
          <w:szCs w:val="28"/>
          <w:lang w:val="en-GB"/>
        </w:rPr>
        <w:t>Risk benchmark tests</w:t>
      </w:r>
    </w:p>
    <w:p w14:paraId="607B6E5E" w14:textId="01242FF5" w:rsidR="00422CAC" w:rsidRPr="00422CAC" w:rsidRDefault="00422CAC" w:rsidP="00422CAC">
      <w:r w:rsidRPr="00422CAC">
        <w:t xml:space="preserve">To apply our risk appetite in practice, we need specific thresholds for the risks or negative effects we can tolerate before management attention is required. While we can tolerate minor declines in service quality, we should aim to minimize them to preserve our company’s reputation and maintain our market position. We should monitor the number </w:t>
      </w:r>
      <w:r w:rsidRPr="00422CAC">
        <w:lastRenderedPageBreak/>
        <w:t>and age of delayed claims, customer response times, and the duration of online service interruptions. Approved limits should specify acceptable delays and maximum outages for critical services. Establishing these limits requires information about normal processing times, claims volumes, staff capacity, service obligations, and available workarounds. Management should be alerted when a limit is likely to be exceeded, particularly where delays could seriously affect customers.</w:t>
      </w:r>
      <w:r w:rsidR="00F10EB8">
        <w:t xml:space="preserve"> </w:t>
      </w:r>
    </w:p>
    <w:p w14:paraId="7A45F438" w14:textId="0097605B" w:rsidR="00422CAC" w:rsidRPr="00422CAC" w:rsidRDefault="00422CAC" w:rsidP="00422CAC">
      <w:r w:rsidRPr="00422CAC">
        <w:t xml:space="preserve">We should closely monitor any additional operating costs related to the pandemic. Management should be alerted when forecasts indicate that available cash may fall below the approved level needed to pay claims and maintain essential operations, or when proposed asset sales exceed approved plans or authority. </w:t>
      </w:r>
    </w:p>
    <w:p w14:paraId="378FCB05" w14:textId="4B94FB19" w:rsidR="007D76C6" w:rsidRPr="00422CAC" w:rsidRDefault="00F10EB8">
      <w:r w:rsidRPr="00422CAC">
        <w:t xml:space="preserve">Management should be alerted when staffing in essential roles falls below agreed minimum levels or when an anticipated gap could disrupt service quality. We should closely monitor staff </w:t>
      </w:r>
      <w:proofErr w:type="gramStart"/>
      <w:r w:rsidRPr="00422CAC">
        <w:t>availability</w:t>
      </w:r>
      <w:proofErr w:type="gramEnd"/>
      <w:r w:rsidRPr="00422CAC">
        <w:t xml:space="preserve"> and the resources employees need to work from home. Infrastructure concerns should be escalated when backups or recovery tests fail, critical systems become unavailable, or services may not be restored within approved recovery limits.</w:t>
      </w:r>
      <w:r>
        <w:t xml:space="preserve"> </w:t>
      </w:r>
      <w:r w:rsidR="00535C3B">
        <w:rPr>
          <w:lang w:val="en-GB"/>
        </w:rPr>
        <w:tab/>
      </w:r>
      <w:r w:rsidR="00277C89" w:rsidRPr="00422CAC">
        <w:t>Any confidential information leaks or system damage should be reported immediately so they can be addressed promptly and further damage prevented.</w:t>
      </w:r>
      <w:r w:rsidR="00535C3B">
        <w:rPr>
          <w:lang w:val="en-GB"/>
        </w:rPr>
        <w:tab/>
      </w:r>
      <w:r w:rsidR="00535C3B">
        <w:rPr>
          <w:lang w:val="en-GB"/>
        </w:rPr>
        <w:tab/>
      </w:r>
      <w:r w:rsidR="00535C3B">
        <w:rPr>
          <w:lang w:val="en-GB"/>
        </w:rPr>
        <w:tab/>
      </w:r>
      <w:r w:rsidR="00535C3B">
        <w:rPr>
          <w:lang w:val="en-GB"/>
        </w:rPr>
        <w:tab/>
      </w:r>
      <w:r w:rsidR="00535C3B">
        <w:rPr>
          <w:lang w:val="en-GB"/>
        </w:rPr>
        <w:tab/>
      </w:r>
      <w:r w:rsidR="00D26119">
        <w:rPr>
          <w:lang w:val="en-GB"/>
        </w:rPr>
        <w:t xml:space="preserve"> </w:t>
      </w:r>
    </w:p>
    <w:p w14:paraId="3169B884" w14:textId="4A4AFAF0" w:rsidR="007D76C6" w:rsidRPr="005A74AA" w:rsidRDefault="007D76C6" w:rsidP="005A74AA">
      <w:pPr>
        <w:rPr>
          <w:b/>
          <w:bCs/>
          <w:sz w:val="28"/>
          <w:szCs w:val="28"/>
          <w:lang w:val="en-GB"/>
        </w:rPr>
      </w:pPr>
      <w:r w:rsidRPr="005A74AA">
        <w:rPr>
          <w:b/>
          <w:bCs/>
          <w:sz w:val="28"/>
          <w:szCs w:val="28"/>
          <w:lang w:val="en-GB"/>
        </w:rPr>
        <w:t>Role of top management</w:t>
      </w:r>
    </w:p>
    <w:p w14:paraId="7CF63625" w14:textId="77777777" w:rsidR="00422CAC" w:rsidRPr="00422CAC" w:rsidRDefault="00422CAC" w:rsidP="00422CAC">
      <w:r w:rsidRPr="00422CAC">
        <w:t>Top management should establish and approve our risk appetite, risk limits, and decision-making authority before serious problems arise. It should clarify which actions the crisis leadership team can take independently, including reallocating staff, activating continuity arrangements, and approving spending within an agreed budget. Decisions exceeding these limits should require further approval.</w:t>
      </w:r>
    </w:p>
    <w:p w14:paraId="0C88132B" w14:textId="77777777" w:rsidR="00422CAC" w:rsidRDefault="00422CAC" w:rsidP="00422CAC">
      <w:r w:rsidRPr="00422CAC">
        <w:t>Top management should not make decisions in isolation. It should consider recommendations from the crisis leadership team alongside input from claims, finance, IT, human resources, and relevant risk and compliance staff. When weighing options, management should consider the impact on customers, costs, operational feasibility, and the risks that remain after protective measures are introduced.</w:t>
      </w:r>
    </w:p>
    <w:p w14:paraId="7E038A15" w14:textId="228FBFFC" w:rsidR="00277C89" w:rsidRPr="00422CAC" w:rsidRDefault="00277C89" w:rsidP="00422CAC">
      <w:r w:rsidRPr="00277C89">
        <w:t>Management should receive regular updates on service performance, staffing coverage, financial forecasts, and security incidents. Serious incidents and anticipated breaches of approved limits should be escalated promptly. Reporting procedures should align with the Risk Protocols and Risk Resources sections and identify who must be notified, who has authority to act, and which spending or resource commitments require approval.</w:t>
      </w:r>
    </w:p>
    <w:p w14:paraId="29BA447B" w14:textId="76AD7FA0" w:rsidR="00041A3E" w:rsidRPr="00041A3E" w:rsidRDefault="00422CAC" w:rsidP="00422CAC">
      <w:r w:rsidRPr="00422CAC">
        <w:lastRenderedPageBreak/>
        <w:t>Finally, top management should ensure that approved responses receive adequate resources, assign responsibility for corrective actions, and monitor their effectiveness. It should confirm what support Tiva can provide and periodically review risk limits as circumstances change. Decisions and any approved exceptions should be documented to maintain clear accountability throughout the crisis.</w:t>
      </w:r>
    </w:p>
    <w:sectPr w:rsidR="00041A3E" w:rsidRPr="00041A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3122B" w14:textId="77777777" w:rsidR="00A177E9" w:rsidRDefault="00A177E9" w:rsidP="00000784">
      <w:pPr>
        <w:spacing w:after="0" w:line="240" w:lineRule="auto"/>
      </w:pPr>
      <w:r>
        <w:separator/>
      </w:r>
    </w:p>
  </w:endnote>
  <w:endnote w:type="continuationSeparator" w:id="0">
    <w:p w14:paraId="153CE6A9" w14:textId="77777777" w:rsidR="00A177E9" w:rsidRDefault="00A177E9" w:rsidP="00000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6C7DB" w14:textId="77777777" w:rsidR="00A177E9" w:rsidRDefault="00A177E9" w:rsidP="00000784">
      <w:pPr>
        <w:spacing w:after="0" w:line="240" w:lineRule="auto"/>
      </w:pPr>
      <w:r>
        <w:separator/>
      </w:r>
    </w:p>
  </w:footnote>
  <w:footnote w:type="continuationSeparator" w:id="0">
    <w:p w14:paraId="33A7337C" w14:textId="77777777" w:rsidR="00A177E9" w:rsidRDefault="00A177E9" w:rsidP="00000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9168F"/>
    <w:multiLevelType w:val="hybridMultilevel"/>
    <w:tmpl w:val="1626FCDA"/>
    <w:lvl w:ilvl="0" w:tplc="4C3A9A9A">
      <w:start w:val="1"/>
      <w:numFmt w:val="decimal"/>
      <w:lvlText w:val="%1."/>
      <w:lvlJc w:val="left"/>
      <w:pPr>
        <w:ind w:left="220" w:hanging="217"/>
      </w:pPr>
      <w:rPr>
        <w:rFonts w:ascii="Calibri" w:eastAsia="Calibri" w:hAnsi="Calibri" w:cs="Calibri" w:hint="default"/>
        <w:w w:val="99"/>
        <w:sz w:val="22"/>
        <w:szCs w:val="22"/>
        <w:lang w:val="en-GB" w:eastAsia="en-US" w:bidi="ar-SA"/>
      </w:rPr>
    </w:lvl>
    <w:lvl w:ilvl="1" w:tplc="78BAD318">
      <w:numFmt w:val="bullet"/>
      <w:lvlText w:val="•"/>
      <w:lvlJc w:val="left"/>
      <w:pPr>
        <w:ind w:left="1146" w:hanging="217"/>
      </w:pPr>
      <w:rPr>
        <w:lang w:val="en-GB" w:eastAsia="en-US" w:bidi="ar-SA"/>
      </w:rPr>
    </w:lvl>
    <w:lvl w:ilvl="2" w:tplc="C9765A42">
      <w:numFmt w:val="bullet"/>
      <w:lvlText w:val="•"/>
      <w:lvlJc w:val="left"/>
      <w:pPr>
        <w:ind w:left="2072" w:hanging="217"/>
      </w:pPr>
      <w:rPr>
        <w:lang w:val="en-GB" w:eastAsia="en-US" w:bidi="ar-SA"/>
      </w:rPr>
    </w:lvl>
    <w:lvl w:ilvl="3" w:tplc="EF0E7636">
      <w:numFmt w:val="bullet"/>
      <w:lvlText w:val="•"/>
      <w:lvlJc w:val="left"/>
      <w:pPr>
        <w:ind w:left="2998" w:hanging="217"/>
      </w:pPr>
      <w:rPr>
        <w:lang w:val="en-GB" w:eastAsia="en-US" w:bidi="ar-SA"/>
      </w:rPr>
    </w:lvl>
    <w:lvl w:ilvl="4" w:tplc="7D8ABBEC">
      <w:numFmt w:val="bullet"/>
      <w:lvlText w:val="•"/>
      <w:lvlJc w:val="left"/>
      <w:pPr>
        <w:ind w:left="3924" w:hanging="217"/>
      </w:pPr>
      <w:rPr>
        <w:lang w:val="en-GB" w:eastAsia="en-US" w:bidi="ar-SA"/>
      </w:rPr>
    </w:lvl>
    <w:lvl w:ilvl="5" w:tplc="D162118C">
      <w:numFmt w:val="bullet"/>
      <w:lvlText w:val="•"/>
      <w:lvlJc w:val="left"/>
      <w:pPr>
        <w:ind w:left="4850" w:hanging="217"/>
      </w:pPr>
      <w:rPr>
        <w:lang w:val="en-GB" w:eastAsia="en-US" w:bidi="ar-SA"/>
      </w:rPr>
    </w:lvl>
    <w:lvl w:ilvl="6" w:tplc="ADE848FE">
      <w:numFmt w:val="bullet"/>
      <w:lvlText w:val="•"/>
      <w:lvlJc w:val="left"/>
      <w:pPr>
        <w:ind w:left="5776" w:hanging="217"/>
      </w:pPr>
      <w:rPr>
        <w:lang w:val="en-GB" w:eastAsia="en-US" w:bidi="ar-SA"/>
      </w:rPr>
    </w:lvl>
    <w:lvl w:ilvl="7" w:tplc="9CF263E6">
      <w:numFmt w:val="bullet"/>
      <w:lvlText w:val="•"/>
      <w:lvlJc w:val="left"/>
      <w:pPr>
        <w:ind w:left="6702" w:hanging="217"/>
      </w:pPr>
      <w:rPr>
        <w:lang w:val="en-GB" w:eastAsia="en-US" w:bidi="ar-SA"/>
      </w:rPr>
    </w:lvl>
    <w:lvl w:ilvl="8" w:tplc="F62C8F72">
      <w:numFmt w:val="bullet"/>
      <w:lvlText w:val="•"/>
      <w:lvlJc w:val="left"/>
      <w:pPr>
        <w:ind w:left="7628" w:hanging="217"/>
      </w:pPr>
      <w:rPr>
        <w:lang w:val="en-GB" w:eastAsia="en-US" w:bidi="ar-SA"/>
      </w:rPr>
    </w:lvl>
  </w:abstractNum>
  <w:num w:numId="1" w16cid:durableId="732701249">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40"/>
    <w:rsid w:val="00000784"/>
    <w:rsid w:val="00041A3E"/>
    <w:rsid w:val="00064B8F"/>
    <w:rsid w:val="000D30CD"/>
    <w:rsid w:val="00103C1F"/>
    <w:rsid w:val="001A0202"/>
    <w:rsid w:val="001D09BE"/>
    <w:rsid w:val="0022360B"/>
    <w:rsid w:val="00241F4A"/>
    <w:rsid w:val="00277C89"/>
    <w:rsid w:val="00341A05"/>
    <w:rsid w:val="003E1E64"/>
    <w:rsid w:val="00422CAC"/>
    <w:rsid w:val="004517E8"/>
    <w:rsid w:val="004D3220"/>
    <w:rsid w:val="004F3F45"/>
    <w:rsid w:val="00535C3B"/>
    <w:rsid w:val="0056317D"/>
    <w:rsid w:val="00590A57"/>
    <w:rsid w:val="00595A29"/>
    <w:rsid w:val="005A74AA"/>
    <w:rsid w:val="005E489F"/>
    <w:rsid w:val="005F5082"/>
    <w:rsid w:val="00622040"/>
    <w:rsid w:val="006A3E16"/>
    <w:rsid w:val="006C7443"/>
    <w:rsid w:val="007859A9"/>
    <w:rsid w:val="007D76C6"/>
    <w:rsid w:val="00800605"/>
    <w:rsid w:val="0083034E"/>
    <w:rsid w:val="008D7F03"/>
    <w:rsid w:val="008F4AB1"/>
    <w:rsid w:val="009202F2"/>
    <w:rsid w:val="009A3384"/>
    <w:rsid w:val="00A177E9"/>
    <w:rsid w:val="00A471A9"/>
    <w:rsid w:val="00A67AE7"/>
    <w:rsid w:val="00AA48F5"/>
    <w:rsid w:val="00AE6DAF"/>
    <w:rsid w:val="00B027FC"/>
    <w:rsid w:val="00B24803"/>
    <w:rsid w:val="00B83D68"/>
    <w:rsid w:val="00BD49CB"/>
    <w:rsid w:val="00BF7470"/>
    <w:rsid w:val="00C1024E"/>
    <w:rsid w:val="00C33DF4"/>
    <w:rsid w:val="00C46B21"/>
    <w:rsid w:val="00C55275"/>
    <w:rsid w:val="00D26119"/>
    <w:rsid w:val="00D61AC8"/>
    <w:rsid w:val="00DC541B"/>
    <w:rsid w:val="00DE5EB1"/>
    <w:rsid w:val="00E46599"/>
    <w:rsid w:val="00E870C2"/>
    <w:rsid w:val="00E948BA"/>
    <w:rsid w:val="00EA2735"/>
    <w:rsid w:val="00F10EB8"/>
    <w:rsid w:val="00F22050"/>
    <w:rsid w:val="00F42AA5"/>
    <w:rsid w:val="00FB7106"/>
    <w:rsid w:val="00FC60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43A64"/>
  <w15:chartTrackingRefBased/>
  <w15:docId w15:val="{0E739216-2D7B-4635-A319-E2F4B34F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040"/>
    <w:rPr>
      <w:rFonts w:eastAsiaTheme="majorEastAsia" w:cstheme="majorBidi"/>
      <w:color w:val="272727" w:themeColor="text1" w:themeTint="D8"/>
    </w:rPr>
  </w:style>
  <w:style w:type="paragraph" w:styleId="Title">
    <w:name w:val="Title"/>
    <w:basedOn w:val="Normal"/>
    <w:next w:val="Normal"/>
    <w:link w:val="TitleChar"/>
    <w:uiPriority w:val="10"/>
    <w:qFormat/>
    <w:rsid w:val="00622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040"/>
    <w:pPr>
      <w:spacing w:before="160"/>
      <w:jc w:val="center"/>
    </w:pPr>
    <w:rPr>
      <w:i/>
      <w:iCs/>
      <w:color w:val="404040" w:themeColor="text1" w:themeTint="BF"/>
    </w:rPr>
  </w:style>
  <w:style w:type="character" w:customStyle="1" w:styleId="QuoteChar">
    <w:name w:val="Quote Char"/>
    <w:basedOn w:val="DefaultParagraphFont"/>
    <w:link w:val="Quote"/>
    <w:uiPriority w:val="29"/>
    <w:rsid w:val="00622040"/>
    <w:rPr>
      <w:i/>
      <w:iCs/>
      <w:color w:val="404040" w:themeColor="text1" w:themeTint="BF"/>
    </w:rPr>
  </w:style>
  <w:style w:type="paragraph" w:styleId="ListParagraph">
    <w:name w:val="List Paragraph"/>
    <w:basedOn w:val="Normal"/>
    <w:uiPriority w:val="34"/>
    <w:qFormat/>
    <w:rsid w:val="00622040"/>
    <w:pPr>
      <w:ind w:left="720"/>
      <w:contextualSpacing/>
    </w:pPr>
  </w:style>
  <w:style w:type="character" w:styleId="IntenseEmphasis">
    <w:name w:val="Intense Emphasis"/>
    <w:basedOn w:val="DefaultParagraphFont"/>
    <w:uiPriority w:val="21"/>
    <w:qFormat/>
    <w:rsid w:val="00622040"/>
    <w:rPr>
      <w:i/>
      <w:iCs/>
      <w:color w:val="0F4761" w:themeColor="accent1" w:themeShade="BF"/>
    </w:rPr>
  </w:style>
  <w:style w:type="paragraph" w:styleId="IntenseQuote">
    <w:name w:val="Intense Quote"/>
    <w:basedOn w:val="Normal"/>
    <w:next w:val="Normal"/>
    <w:link w:val="IntenseQuoteChar"/>
    <w:uiPriority w:val="30"/>
    <w:qFormat/>
    <w:rsid w:val="00622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040"/>
    <w:rPr>
      <w:i/>
      <w:iCs/>
      <w:color w:val="0F4761" w:themeColor="accent1" w:themeShade="BF"/>
    </w:rPr>
  </w:style>
  <w:style w:type="character" w:styleId="IntenseReference">
    <w:name w:val="Intense Reference"/>
    <w:basedOn w:val="DefaultParagraphFont"/>
    <w:uiPriority w:val="32"/>
    <w:qFormat/>
    <w:rsid w:val="00622040"/>
    <w:rPr>
      <w:b/>
      <w:bCs/>
      <w:smallCaps/>
      <w:color w:val="0F4761" w:themeColor="accent1" w:themeShade="BF"/>
      <w:spacing w:val="5"/>
    </w:rPr>
  </w:style>
  <w:style w:type="paragraph" w:styleId="Header">
    <w:name w:val="header"/>
    <w:basedOn w:val="Normal"/>
    <w:link w:val="HeaderChar"/>
    <w:uiPriority w:val="99"/>
    <w:unhideWhenUsed/>
    <w:rsid w:val="00000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784"/>
  </w:style>
  <w:style w:type="paragraph" w:styleId="Footer">
    <w:name w:val="footer"/>
    <w:basedOn w:val="Normal"/>
    <w:link w:val="FooterChar"/>
    <w:uiPriority w:val="99"/>
    <w:unhideWhenUsed/>
    <w:rsid w:val="00000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784"/>
  </w:style>
  <w:style w:type="paragraph" w:styleId="NormalWeb">
    <w:name w:val="Normal (Web)"/>
    <w:basedOn w:val="Normal"/>
    <w:uiPriority w:val="99"/>
    <w:semiHidden/>
    <w:unhideWhenUsed/>
    <w:rsid w:val="008303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1018</TotalTime>
  <Pages>3</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li</dc:creator>
  <cp:keywords/>
  <dc:description/>
  <cp:lastModifiedBy>Chris Haritun</cp:lastModifiedBy>
  <cp:revision>6</cp:revision>
  <dcterms:created xsi:type="dcterms:W3CDTF">2026-10-06T17:57:00Z</dcterms:created>
  <dcterms:modified xsi:type="dcterms:W3CDTF">2026-10-10T19:03:00Z</dcterms:modified>
</cp:coreProperties>
</file>