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A491" w14:textId="77777777" w:rsidR="00826A1C" w:rsidRPr="00913060" w:rsidRDefault="00000000" w:rsidP="00913060">
      <w:pPr>
        <w:rPr>
          <w:sz w:val="32"/>
          <w:szCs w:val="32"/>
        </w:rPr>
      </w:pPr>
      <w:r w:rsidRPr="00913060">
        <w:rPr>
          <w:sz w:val="32"/>
          <w:szCs w:val="32"/>
        </w:rPr>
        <w:t>Risk Agenda Coordination Note</w:t>
      </w:r>
    </w:p>
    <w:p w14:paraId="330B1822" w14:textId="2D98D04A" w:rsidR="00913060" w:rsidRPr="00913060" w:rsidRDefault="00913060" w:rsidP="00913060">
      <w:pPr>
        <w:rPr>
          <w:rFonts w:asciiTheme="majorHAnsi" w:eastAsiaTheme="majorEastAsia" w:hAnsiTheme="majorHAnsi" w:cstheme="majorBidi"/>
          <w:b/>
          <w:bCs/>
          <w:sz w:val="26"/>
          <w:szCs w:val="28"/>
          <w:lang w:val="en-CA"/>
        </w:rPr>
      </w:pPr>
      <w:r w:rsidRPr="00913060">
        <w:rPr>
          <w:rFonts w:asciiTheme="majorHAnsi" w:eastAsiaTheme="majorEastAsia" w:hAnsiTheme="majorHAnsi" w:cstheme="majorBidi"/>
          <w:b/>
          <w:bCs/>
          <w:sz w:val="26"/>
          <w:szCs w:val="28"/>
          <w:lang w:val="en-CA"/>
        </w:rPr>
        <w:t xml:space="preserve">Lester </w:t>
      </w:r>
      <w:r>
        <w:rPr>
          <w:rFonts w:asciiTheme="majorHAnsi" w:eastAsiaTheme="majorEastAsia" w:hAnsiTheme="majorHAnsi" w:cstheme="majorBidi"/>
          <w:b/>
          <w:bCs/>
          <w:sz w:val="26"/>
          <w:szCs w:val="28"/>
          <w:lang w:val="en-CA"/>
        </w:rPr>
        <w:t>-</w:t>
      </w:r>
      <w:r w:rsidRPr="00913060">
        <w:rPr>
          <w:rFonts w:asciiTheme="majorHAnsi" w:eastAsiaTheme="majorEastAsia" w:hAnsiTheme="majorHAnsi" w:cstheme="majorBidi"/>
          <w:b/>
          <w:bCs/>
          <w:sz w:val="26"/>
          <w:szCs w:val="28"/>
          <w:lang w:val="en-CA"/>
        </w:rPr>
        <w:t xml:space="preserve"> Risk Attitude and Appetite</w:t>
      </w:r>
    </w:p>
    <w:p w14:paraId="4BA9A94B"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Explain how much risk we are willing to accept in different areas. We should have little tolerance for harm to customers, exposure of confidential information, or failure to meet our obligations. However, we may accept some carefully managed risk when introducing changes that help us keep operating. For example, expanding cloud services may involve temporary disruption but improve our ability to work remotely. Saying our risk appetite is simply “very low” does not fully explain these differences.</w:t>
      </w:r>
    </w:p>
    <w:p w14:paraId="46D06D06"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Describe the limits that tell us when a risk needs management attention. Consider how long services can be interrupted, how far claims processing can fall behind, and how much financial loss we can absorb. These limits should reflect our ability to manage the consequences. If we do not have enough information to set a limit, identify what we need.</w:t>
      </w:r>
    </w:p>
    <w:p w14:paraId="44F363A9"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Work with Urman on when issues must be reported to senior management, and with Nathan on spending and resource limits. Together, these should clarify what the crisis leadership team can decide on its own and what needs further approval.</w:t>
      </w:r>
    </w:p>
    <w:p w14:paraId="48431420"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Keep risk limits separate from measures of progress. For example, the percentage of staff using secure remote access shows progress. The maximum acceptable length of a service outage is a risk limit.</w:t>
      </w:r>
    </w:p>
    <w:p w14:paraId="5067DF46" w14:textId="33F508FD" w:rsidR="00913060" w:rsidRPr="00913060" w:rsidRDefault="00913060" w:rsidP="00913060">
      <w:pPr>
        <w:rPr>
          <w:rFonts w:asciiTheme="majorHAnsi" w:eastAsiaTheme="majorEastAsia" w:hAnsiTheme="majorHAnsi" w:cstheme="majorBidi"/>
          <w:b/>
          <w:bCs/>
          <w:sz w:val="26"/>
          <w:szCs w:val="28"/>
          <w:lang w:val="en-CA"/>
        </w:rPr>
      </w:pPr>
      <w:r w:rsidRPr="00913060">
        <w:rPr>
          <w:rFonts w:asciiTheme="majorHAnsi" w:eastAsiaTheme="majorEastAsia" w:hAnsiTheme="majorHAnsi" w:cstheme="majorBidi"/>
          <w:b/>
          <w:bCs/>
          <w:sz w:val="26"/>
          <w:szCs w:val="28"/>
          <w:lang w:val="en-CA"/>
        </w:rPr>
        <w:t xml:space="preserve">Nathan </w:t>
      </w:r>
      <w:r>
        <w:rPr>
          <w:rFonts w:asciiTheme="majorHAnsi" w:eastAsiaTheme="majorEastAsia" w:hAnsiTheme="majorHAnsi" w:cstheme="majorBidi"/>
          <w:b/>
          <w:bCs/>
          <w:sz w:val="26"/>
          <w:szCs w:val="28"/>
          <w:lang w:val="en-CA"/>
        </w:rPr>
        <w:t>-</w:t>
      </w:r>
      <w:r w:rsidRPr="00913060">
        <w:rPr>
          <w:rFonts w:asciiTheme="majorHAnsi" w:eastAsiaTheme="majorEastAsia" w:hAnsiTheme="majorHAnsi" w:cstheme="majorBidi"/>
          <w:b/>
          <w:bCs/>
          <w:sz w:val="26"/>
          <w:szCs w:val="28"/>
          <w:lang w:val="en-CA"/>
        </w:rPr>
        <w:t xml:space="preserve"> Risk Resources</w:t>
      </w:r>
    </w:p>
    <w:p w14:paraId="3BED5D7E"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Identify what we need to keep claims processing, premium collection, and customer support operating securely. Include staff, time, equipment, funding, and outside expertise. Consider laptops and remote-work training, backup staff for essential roles, IT capacity, security support, and time to monitor suppliers.</w:t>
      </w:r>
    </w:p>
    <w:p w14:paraId="1C28752E"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Clearly separate resources we already have from resources we still need. Consider whether Tiva could provide support, but do not assume its staff or funding are available. Where outside specialists may help, compare their cost, skills, and reliability with doing the work ourselves. We remain responsible for managing risks even when another organization performs the work.</w:t>
      </w:r>
    </w:p>
    <w:p w14:paraId="57242759"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Explain which resource needs should come first and who can approve spending. Identify what the crisis leadership team can authorize and what requires senior management approval. Separate immediate needs from longer-term improvements, including ongoing costs such as cloud subscriptions and supplier fees.</w:t>
      </w:r>
    </w:p>
    <w:p w14:paraId="21065FAB" w14:textId="4C3787EC" w:rsidR="00913060" w:rsidRPr="00913060" w:rsidRDefault="00913060" w:rsidP="00913060">
      <w:pPr>
        <w:rPr>
          <w:rFonts w:asciiTheme="majorHAnsi" w:eastAsiaTheme="majorEastAsia" w:hAnsiTheme="majorHAnsi" w:cstheme="majorBidi"/>
          <w:b/>
          <w:bCs/>
          <w:sz w:val="26"/>
          <w:szCs w:val="28"/>
          <w:lang w:val="en-CA"/>
        </w:rPr>
      </w:pPr>
      <w:r w:rsidRPr="00913060">
        <w:rPr>
          <w:rFonts w:asciiTheme="majorHAnsi" w:eastAsiaTheme="majorEastAsia" w:hAnsiTheme="majorHAnsi" w:cstheme="majorBidi"/>
          <w:b/>
          <w:bCs/>
          <w:sz w:val="26"/>
          <w:szCs w:val="28"/>
          <w:lang w:val="en-CA"/>
        </w:rPr>
        <w:t xml:space="preserve">Urman </w:t>
      </w:r>
      <w:r>
        <w:rPr>
          <w:rFonts w:asciiTheme="majorHAnsi" w:eastAsiaTheme="majorEastAsia" w:hAnsiTheme="majorHAnsi" w:cstheme="majorBidi"/>
          <w:b/>
          <w:bCs/>
          <w:sz w:val="26"/>
          <w:szCs w:val="28"/>
          <w:lang w:val="en-CA"/>
        </w:rPr>
        <w:t xml:space="preserve">- </w:t>
      </w:r>
      <w:r w:rsidRPr="00913060">
        <w:rPr>
          <w:rFonts w:asciiTheme="majorHAnsi" w:eastAsiaTheme="majorEastAsia" w:hAnsiTheme="majorHAnsi" w:cstheme="majorBidi"/>
          <w:b/>
          <w:bCs/>
          <w:sz w:val="26"/>
          <w:szCs w:val="28"/>
          <w:lang w:val="en-CA"/>
        </w:rPr>
        <w:t>Risk Protocols</w:t>
      </w:r>
    </w:p>
    <w:p w14:paraId="0C90F0E6"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Explain the procedures each department should follow to identify, assess, record, monitor, and review risks. Clarify who reports issues, who receives those reports, and how often reviews take place. Include additional reviews after major incidents or changes in conditions.</w:t>
      </w:r>
    </w:p>
    <w:p w14:paraId="2F766FDD"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lastRenderedPageBreak/>
        <w:t>Describe how proposed operational changes will be checked, tested, approved, and reviewed after implementation. Examples include remote access, cloud services, testing whether systems can recover after an outage, changing suppliers, and customer communication. Explain who must be contacted when a risk exceeds an agreed limit or requires more resources than the team can approve.</w:t>
      </w:r>
    </w:p>
    <w:p w14:paraId="6DAE2F9F"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Define how we will measure whether our response is working and where the information will come from. Possible measures include system availability, claims waiting to be processed, staff with secure remote access, backup coverage for key roles, and whether controls pass their tests. Work with Finance and Nathan on financial measures.</w:t>
      </w:r>
    </w:p>
    <w:p w14:paraId="4E65EBC2" w14:textId="77777777" w:rsidR="00913060" w:rsidRPr="00913060" w:rsidRDefault="00913060" w:rsidP="00913060">
      <w:pPr>
        <w:rPr>
          <w:rFonts w:asciiTheme="majorHAnsi" w:eastAsiaTheme="majorEastAsia" w:hAnsiTheme="majorHAnsi" w:cstheme="majorBidi"/>
          <w:sz w:val="26"/>
          <w:szCs w:val="28"/>
          <w:lang w:val="en-CA"/>
        </w:rPr>
      </w:pPr>
      <w:r w:rsidRPr="00913060">
        <w:rPr>
          <w:rFonts w:asciiTheme="majorHAnsi" w:eastAsiaTheme="majorEastAsia" w:hAnsiTheme="majorHAnsi" w:cstheme="majorBidi"/>
          <w:sz w:val="26"/>
          <w:szCs w:val="28"/>
          <w:lang w:val="en-CA"/>
        </w:rPr>
        <w:t>Set measurable targets using what we know about our current performance. Where that information is missing, identify what needs to be collected before a reasonable target can be agreed.</w:t>
      </w:r>
    </w:p>
    <w:p w14:paraId="5ECBBB41" w14:textId="058E7B1D" w:rsidR="00826A1C" w:rsidRPr="00913060" w:rsidRDefault="00826A1C"/>
    <w:sectPr w:rsidR="00826A1C" w:rsidRPr="0091306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738246">
    <w:abstractNumId w:val="8"/>
  </w:num>
  <w:num w:numId="2" w16cid:durableId="1605920650">
    <w:abstractNumId w:val="6"/>
  </w:num>
  <w:num w:numId="3" w16cid:durableId="1945381047">
    <w:abstractNumId w:val="5"/>
  </w:num>
  <w:num w:numId="4" w16cid:durableId="417753815">
    <w:abstractNumId w:val="4"/>
  </w:num>
  <w:num w:numId="5" w16cid:durableId="1575122309">
    <w:abstractNumId w:val="7"/>
  </w:num>
  <w:num w:numId="6" w16cid:durableId="481046623">
    <w:abstractNumId w:val="3"/>
  </w:num>
  <w:num w:numId="7" w16cid:durableId="1197235326">
    <w:abstractNumId w:val="2"/>
  </w:num>
  <w:num w:numId="8" w16cid:durableId="1649747816">
    <w:abstractNumId w:val="1"/>
  </w:num>
  <w:num w:numId="9" w16cid:durableId="847059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0285"/>
    <w:rsid w:val="00826A1C"/>
    <w:rsid w:val="00913060"/>
    <w:rsid w:val="00AA1D8D"/>
    <w:rsid w:val="00B47730"/>
    <w:rsid w:val="00B63D00"/>
    <w:rsid w:val="00BB1DAC"/>
    <w:rsid w:val="00CB0664"/>
    <w:rsid w:val="00D36A0E"/>
    <w:rsid w:val="00D947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5D1E6"/>
  <w14:defaultImageDpi w14:val="300"/>
  <w15:docId w15:val="{37621B3F-D36E-47EF-B2B6-724DF898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Haritun</cp:lastModifiedBy>
  <cp:revision>4</cp:revision>
  <dcterms:created xsi:type="dcterms:W3CDTF">2013-12-23T23:15:00Z</dcterms:created>
  <dcterms:modified xsi:type="dcterms:W3CDTF">2026-10-07T14:06:00Z</dcterms:modified>
  <cp:category/>
</cp:coreProperties>
</file>