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3"/>
        <w:pBdr/>
        <w:spacing/>
        <w:ind/>
        <w:rPr>
          <w:rFonts w:ascii="Arial" w:hAnsi="Arial" w:cs="Arial"/>
        </w:rPr>
      </w:pPr>
      <w:r>
        <w:rPr>
          <w:rFonts w:ascii="Arial" w:hAnsi="Arial" w:eastAsia="Arial" w:cs="Arial"/>
        </w:rPr>
        <w:t xml:space="preserve">Infrastructure Riskiness Index</w:t>
      </w:r>
      <w:r>
        <w:rPr>
          <w:rFonts w:ascii="Arial" w:hAnsi="Arial" w:eastAsia="Arial" w:cs="Arial"/>
        </w:rPr>
      </w:r>
      <w:r>
        <w:rPr>
          <w:rFonts w:ascii="Arial" w:hAnsi="Arial" w:cs="Arial"/>
        </w:rPr>
      </w:r>
    </w:p>
    <w:p w14:paraId="1016D986">
      <w:pPr>
        <w:pBdr/>
        <w:spacing/>
        <w:ind/>
        <w:rPr>
          <w:rFonts w:ascii="Arial" w:hAnsi="Arial" w:cs="Arial"/>
        </w:rPr>
      </w:pPr>
      <w:r>
        <w:rPr>
          <w:rFonts w:ascii="Arial" w:hAnsi="Arial" w:eastAsia="Arial" w:cs="Arial"/>
        </w:rPr>
      </w:r>
      <w:r>
        <w:rPr>
          <w:rFonts w:ascii="Arial" w:hAnsi="Arial" w:eastAsia="Arial" w:cs="Arial"/>
        </w:rPr>
        <w:t xml:space="preserve">A</w:t>
      </w:r>
      <w:r>
        <w:rPr>
          <w:rFonts w:ascii="Arial" w:hAnsi="Arial" w:eastAsia="Arial" w:cs="Arial"/>
        </w:rPr>
        <w:t xml:space="preserve"> pandemic outbreak can affect many aspects of a business, as the COVID-19 pandemic (2019-2021) showed. It is critical for businesses to prepare a proper risk management plan, starting with a riskiness index for each function, so they can identify their vul</w:t>
      </w:r>
      <w:r>
        <w:rPr>
          <w:rFonts w:ascii="Arial" w:hAnsi="Arial" w:eastAsia="Arial" w:cs="Arial"/>
        </w:rPr>
        <w:t xml:space="preserve">nerabilities to the risk. This document assesses the infrastructure component of the riskiness index for ITrustU. Each aspect of the business's infrastructure is given a score, along with a justification for that score.</w:t>
      </w:r>
      <w:r>
        <w:rPr>
          <w:rFonts w:ascii="Arial" w:hAnsi="Arial" w:eastAsia="Arial" w:cs="Arial"/>
        </w:rPr>
      </w:r>
      <w:r>
        <w:rPr>
          <w:rFonts w:ascii="Arial" w:hAnsi="Arial" w:cs="Arial"/>
        </w:rPr>
      </w:r>
    </w:p>
    <w:p w14:paraId="54CE0F8F">
      <w:pPr>
        <w:pStyle w:val="834"/>
        <w:pBdr/>
        <w:spacing/>
        <w:ind/>
        <w:rPr>
          <w:rFonts w:ascii="Arial" w:hAnsi="Arial" w:cs="Arial"/>
        </w:rPr>
      </w:pPr>
      <w:r>
        <w:rPr>
          <w:rFonts w:ascii="Arial" w:hAnsi="Arial" w:eastAsia="Arial" w:cs="Arial"/>
        </w:rPr>
        <w:t xml:space="preserve">Assumptions</w:t>
      </w:r>
      <w:r>
        <w:rPr>
          <w:rFonts w:ascii="Arial" w:hAnsi="Arial" w:eastAsia="Arial" w:cs="Arial"/>
        </w:rPr>
      </w:r>
      <w:r>
        <w:rPr>
          <w:rFonts w:ascii="Arial" w:hAnsi="Arial" w:cs="Arial"/>
        </w:rPr>
      </w:r>
    </w:p>
    <w:p w14:paraId="575F9A99">
      <w:pPr>
        <w:pBdr/>
        <w:spacing/>
        <w:ind/>
        <w:rPr>
          <w:rFonts w:ascii="Arial" w:hAnsi="Arial" w:cs="Arial"/>
          <w:b/>
          <w:bCs/>
        </w:rPr>
      </w:pPr>
      <w:r>
        <w:rPr>
          <w:rFonts w:ascii="Arial" w:hAnsi="Arial" w:eastAsia="Arial" w:cs="Arial"/>
          <w:b/>
          <w:bCs/>
        </w:rPr>
        <w:t xml:space="preserve">Infrastructure</w:t>
      </w:r>
      <w:r>
        <w:rPr>
          <w:rFonts w:ascii="Arial" w:hAnsi="Arial" w:eastAsia="Arial" w:cs="Arial"/>
          <w:b/>
          <w:bCs/>
        </w:rPr>
      </w:r>
      <w:r>
        <w:rPr>
          <w:rFonts w:ascii="Arial" w:hAnsi="Arial" w:cs="Arial"/>
          <w:b/>
          <w:bCs/>
        </w:rPr>
      </w:r>
    </w:p>
    <w:p w14:paraId="0E43E995">
      <w:pPr>
        <w:pStyle w:val="896"/>
        <w:numPr>
          <w:ilvl w:val="0"/>
          <w:numId w:val="1"/>
        </w:numPr>
        <w:pBdr/>
        <w:spacing/>
        <w:ind/>
        <w:rPr>
          <w:rFonts w:ascii="Arial" w:hAnsi="Arial" w:cs="Arial"/>
          <w:b/>
          <w:bCs/>
        </w:rPr>
      </w:pPr>
      <w:r>
        <w:rPr>
          <w:rFonts w:ascii="Arial" w:hAnsi="Arial" w:eastAsia="Arial" w:cs="Arial"/>
        </w:rPr>
        <w:t xml:space="preserve">How is our workforce going to change?</w:t>
      </w:r>
      <w:r>
        <w:rPr>
          <w:rFonts w:ascii="Arial" w:hAnsi="Arial" w:eastAsia="Arial" w:cs="Arial"/>
          <w:b/>
          <w:bCs/>
        </w:rPr>
      </w:r>
      <w:r>
        <w:rPr>
          <w:rFonts w:ascii="Arial" w:hAnsi="Arial" w:cs="Arial"/>
          <w:b/>
          <w:bCs/>
        </w:rPr>
      </w:r>
    </w:p>
    <w:p w14:paraId="195D3F80">
      <w:pPr>
        <w:pStyle w:val="896"/>
        <w:numPr>
          <w:ilvl w:val="1"/>
          <w:numId w:val="1"/>
        </w:numPr>
        <w:pBdr/>
        <w:spacing/>
        <w:ind/>
        <w:rPr>
          <w:rFonts w:ascii="Arial" w:hAnsi="Arial" w:cs="Arial"/>
          <w:b/>
          <w:bCs/>
        </w:rPr>
      </w:pPr>
      <w:r>
        <w:rPr>
          <w:rFonts w:ascii="Arial" w:hAnsi="Arial" w:eastAsia="Arial" w:cs="Arial"/>
        </w:rPr>
        <w:t xml:space="preserve">Operational support, premises/plant. </w:t>
      </w:r>
      <w:r>
        <w:rPr>
          <w:rFonts w:ascii="Arial" w:hAnsi="Arial" w:eastAsia="Arial" w:cs="Arial"/>
          <w:b/>
          <w:bCs/>
        </w:rPr>
      </w:r>
      <w:r>
        <w:rPr>
          <w:rFonts w:ascii="Arial" w:hAnsi="Arial" w:cs="Arial"/>
          <w:b/>
          <w:bCs/>
        </w:rPr>
      </w:r>
    </w:p>
    <w:p w14:paraId="1462EB06">
      <w:pPr>
        <w:pStyle w:val="896"/>
        <w:numPr>
          <w:ilvl w:val="1"/>
          <w:numId w:val="1"/>
        </w:numPr>
        <w:pBdr/>
        <w:spacing/>
        <w:ind/>
        <w:rPr>
          <w:rFonts w:ascii="Arial" w:hAnsi="Arial" w:cs="Arial"/>
          <w:b/>
          <w:bCs/>
        </w:rPr>
      </w:pPr>
      <w:r>
        <w:rPr>
          <w:rFonts w:ascii="Arial" w:hAnsi="Arial" w:eastAsia="Arial" w:cs="Arial"/>
        </w:rPr>
        <w:t xml:space="preserve">How will on-site claim reviews be managed? </w:t>
      </w:r>
      <w:r>
        <w:rPr>
          <w:rFonts w:ascii="Arial" w:hAnsi="Arial" w:eastAsia="Arial" w:cs="Arial"/>
          <w:b/>
          <w:bCs/>
        </w:rPr>
      </w:r>
      <w:r>
        <w:rPr>
          <w:rFonts w:ascii="Arial" w:hAnsi="Arial" w:cs="Arial"/>
          <w:b/>
          <w:bCs/>
        </w:rPr>
      </w:r>
    </w:p>
    <w:p w14:paraId="7BE8DEED">
      <w:pPr>
        <w:pStyle w:val="896"/>
        <w:numPr>
          <w:ilvl w:val="0"/>
          <w:numId w:val="1"/>
        </w:numPr>
        <w:pBdr/>
        <w:spacing/>
        <w:ind/>
        <w:rPr>
          <w:rFonts w:ascii="Arial" w:hAnsi="Arial" w:cs="Arial"/>
          <w:b/>
          <w:bCs/>
        </w:rPr>
      </w:pPr>
      <w:r>
        <w:rPr>
          <w:rFonts w:ascii="Arial" w:hAnsi="Arial" w:eastAsia="Arial" w:cs="Arial"/>
        </w:rPr>
        <w:t xml:space="preserve">How should we build upon our IT system to:</w:t>
      </w:r>
      <w:r>
        <w:rPr>
          <w:rFonts w:ascii="Arial" w:hAnsi="Arial" w:eastAsia="Arial" w:cs="Arial"/>
          <w:b/>
          <w:bCs/>
        </w:rPr>
      </w:r>
      <w:r>
        <w:rPr>
          <w:rFonts w:ascii="Arial" w:hAnsi="Arial" w:cs="Arial"/>
          <w:b/>
          <w:bCs/>
        </w:rPr>
      </w:r>
    </w:p>
    <w:p w14:paraId="3D51A7A5">
      <w:pPr>
        <w:pStyle w:val="896"/>
        <w:numPr>
          <w:ilvl w:val="0"/>
          <w:numId w:val="2"/>
        </w:numPr>
        <w:pBdr/>
        <w:spacing/>
        <w:ind/>
        <w:rPr>
          <w:rFonts w:ascii="Arial" w:hAnsi="Arial" w:cs="Arial"/>
          <w:b/>
          <w:bCs/>
        </w:rPr>
      </w:pPr>
      <w:r>
        <w:rPr>
          <w:rFonts w:ascii="Arial" w:hAnsi="Arial" w:eastAsia="Arial" w:cs="Arial"/>
        </w:rPr>
        <w:t xml:space="preserve">Manage work from home</w:t>
      </w:r>
      <w:r>
        <w:rPr>
          <w:rFonts w:ascii="Arial" w:hAnsi="Arial" w:eastAsia="Arial" w:cs="Arial"/>
          <w:b/>
          <w:bCs/>
        </w:rPr>
      </w:r>
      <w:r>
        <w:rPr>
          <w:rFonts w:ascii="Arial" w:hAnsi="Arial" w:cs="Arial"/>
          <w:b/>
          <w:bCs/>
        </w:rPr>
      </w:r>
    </w:p>
    <w:p w14:paraId="24CF8353">
      <w:pPr>
        <w:pStyle w:val="896"/>
        <w:numPr>
          <w:ilvl w:val="0"/>
          <w:numId w:val="2"/>
        </w:numPr>
        <w:pBdr/>
        <w:spacing/>
        <w:ind/>
        <w:rPr>
          <w:rFonts w:ascii="Arial" w:hAnsi="Arial" w:cs="Arial"/>
          <w:b/>
          <w:bCs/>
        </w:rPr>
      </w:pPr>
      <w:r>
        <w:rPr>
          <w:rFonts w:ascii="Arial" w:hAnsi="Arial" w:eastAsia="Arial" w:cs="Arial"/>
        </w:rPr>
        <w:t xml:space="preserve">Increased data requirement? </w:t>
      </w:r>
      <w:r>
        <w:rPr>
          <w:rFonts w:ascii="Arial" w:hAnsi="Arial" w:eastAsia="Arial" w:cs="Arial"/>
          <w:b/>
          <w:bCs/>
        </w:rPr>
      </w:r>
      <w:r>
        <w:rPr>
          <w:rFonts w:ascii="Arial" w:hAnsi="Arial" w:cs="Arial"/>
          <w:b/>
          <w:bCs/>
        </w:rPr>
      </w:r>
    </w:p>
    <w:p w14:paraId="2B606AF8">
      <w:pPr>
        <w:pStyle w:val="896"/>
        <w:numPr>
          <w:ilvl w:val="0"/>
          <w:numId w:val="2"/>
        </w:numPr>
        <w:pBdr/>
        <w:spacing/>
        <w:ind/>
        <w:rPr>
          <w:rFonts w:ascii="Arial" w:hAnsi="Arial" w:cs="Arial"/>
          <w:b/>
          <w:bCs/>
        </w:rPr>
      </w:pPr>
      <w:r>
        <w:rPr>
          <w:rFonts w:ascii="Arial" w:hAnsi="Arial" w:eastAsia="Arial" w:cs="Arial"/>
        </w:rPr>
        <w:t xml:space="preserve">Hacking prevention</w:t>
      </w:r>
      <w:r>
        <w:rPr>
          <w:rFonts w:ascii="Arial" w:hAnsi="Arial" w:eastAsia="Arial" w:cs="Arial"/>
          <w:b/>
          <w:bCs/>
        </w:rPr>
      </w:r>
      <w:r>
        <w:rPr>
          <w:rFonts w:ascii="Arial" w:hAnsi="Arial" w:cs="Arial"/>
          <w:b/>
          <w:bCs/>
        </w:rPr>
      </w:r>
    </w:p>
    <w:p w14:paraId="6804FBCF">
      <w:pPr>
        <w:pStyle w:val="896"/>
        <w:numPr>
          <w:ilvl w:val="0"/>
          <w:numId w:val="2"/>
        </w:numPr>
        <w:pBdr/>
        <w:spacing/>
        <w:ind/>
        <w:rPr>
          <w:rFonts w:ascii="Arial" w:hAnsi="Arial" w:cs="Arial"/>
          <w:b/>
          <w:bCs/>
        </w:rPr>
      </w:pPr>
      <w:r>
        <w:rPr>
          <w:rFonts w:ascii="Arial" w:hAnsi="Arial" w:eastAsia="Arial" w:cs="Arial"/>
        </w:rPr>
        <w:t xml:space="preserve">Disaster recovery/fault tolerance </w:t>
      </w:r>
      <w:r>
        <w:rPr>
          <w:rFonts w:ascii="Arial" w:hAnsi="Arial" w:eastAsia="Arial" w:cs="Arial"/>
          <w:b/>
          <w:bCs/>
        </w:rPr>
      </w:r>
      <w:r>
        <w:rPr>
          <w:rFonts w:ascii="Arial" w:hAnsi="Arial" w:cs="Arial"/>
          <w:b/>
          <w:bCs/>
        </w:rPr>
      </w:r>
    </w:p>
    <w:p w14:paraId="03A75C81">
      <w:pPr>
        <w:pStyle w:val="896"/>
        <w:numPr>
          <w:ilvl w:val="0"/>
          <w:numId w:val="2"/>
        </w:numPr>
        <w:pBdr/>
        <w:spacing/>
        <w:ind/>
        <w:rPr>
          <w:rFonts w:ascii="Arial" w:hAnsi="Arial" w:cs="Arial"/>
          <w:b/>
          <w:bCs/>
        </w:rPr>
      </w:pPr>
      <w:r>
        <w:rPr>
          <w:rFonts w:ascii="Arial" w:hAnsi="Arial" w:eastAsia="Arial" w:cs="Arial"/>
        </w:rPr>
        <w:t xml:space="preserve">Fraud prevention</w:t>
      </w:r>
      <w:r>
        <w:rPr>
          <w:rFonts w:ascii="Arial" w:hAnsi="Arial" w:eastAsia="Arial" w:cs="Arial"/>
          <w:b/>
          <w:bCs/>
        </w:rPr>
      </w:r>
      <w:r>
        <w:rPr>
          <w:rFonts w:ascii="Arial" w:hAnsi="Arial" w:cs="Arial"/>
          <w:b/>
          <w:bCs/>
        </w:rPr>
      </w:r>
    </w:p>
    <w:p w14:paraId="41E96F54">
      <w:pPr>
        <w:pStyle w:val="896"/>
        <w:numPr>
          <w:ilvl w:val="0"/>
          <w:numId w:val="3"/>
        </w:numPr>
        <w:pBdr/>
        <w:spacing/>
        <w:ind/>
        <w:rPr>
          <w:rFonts w:ascii="Arial" w:hAnsi="Arial" w:cs="Arial"/>
          <w:b/>
          <w:bCs/>
        </w:rPr>
      </w:pPr>
      <w:r>
        <w:rPr>
          <w:rFonts w:ascii="Arial" w:hAnsi="Arial" w:eastAsia="Arial" w:cs="Arial"/>
        </w:rPr>
        <w:t xml:space="preserve">What products and supplies are we going to have an issue with? </w:t>
      </w:r>
      <w:r>
        <w:rPr>
          <w:rFonts w:ascii="Arial" w:hAnsi="Arial" w:eastAsia="Arial" w:cs="Arial"/>
          <w:b/>
          <w:bCs/>
        </w:rPr>
      </w:r>
      <w:r>
        <w:rPr>
          <w:rFonts w:ascii="Arial" w:hAnsi="Arial" w:cs="Arial"/>
          <w:b/>
          <w:bCs/>
        </w:rPr>
      </w:r>
    </w:p>
    <w:p w14:paraId="62B835E4">
      <w:pPr>
        <w:pStyle w:val="896"/>
        <w:numPr>
          <w:ilvl w:val="0"/>
          <w:numId w:val="3"/>
        </w:numPr>
        <w:pBdr/>
        <w:spacing/>
        <w:ind/>
        <w:rPr>
          <w:rFonts w:ascii="Arial" w:hAnsi="Arial" w:cs="Arial"/>
          <w:b/>
          <w:bCs/>
        </w:rPr>
      </w:pPr>
      <w:r>
        <w:rPr>
          <w:rFonts w:ascii="Arial" w:hAnsi="Arial" w:eastAsia="Arial" w:cs="Arial"/>
          <w:b w:val="0"/>
          <w:bCs w:val="0"/>
          <w:highlight w:val="none"/>
        </w:rPr>
        <w:t xml:space="preserve">What equipment are needed for employees to work from home?</w:t>
      </w:r>
      <w:r>
        <w:rPr>
          <w:rFonts w:ascii="Arial" w:hAnsi="Arial" w:eastAsia="Arial" w:cs="Arial"/>
          <w:b/>
          <w:bCs/>
          <w:highlight w:val="none"/>
        </w:rPr>
      </w:r>
      <w:r>
        <w:rPr>
          <w:rFonts w:ascii="Arial" w:hAnsi="Arial" w:cs="Arial"/>
          <w:b/>
          <w:bCs/>
        </w:rPr>
      </w:r>
    </w:p>
    <w:p w14:paraId="07076D33">
      <w:pPr>
        <w:pBdr/>
        <w:spacing/>
        <w:ind/>
        <w:rPr>
          <w:rFonts w:ascii="Arial" w:hAnsi="Arial" w:cs="Arial"/>
        </w:rPr>
      </w:pPr>
      <w:r>
        <w:rPr>
          <w:rFonts w:ascii="Arial" w:hAnsi="Arial" w:eastAsia="Arial" w:cs="Arial"/>
        </w:rPr>
      </w:r>
      <w:r>
        <w:rPr>
          <w:rFonts w:ascii="Arial" w:hAnsi="Arial" w:eastAsia="Arial" w:cs="Arial"/>
        </w:rPr>
      </w:r>
      <w:r>
        <w:rPr>
          <w:rFonts w:ascii="Arial" w:hAnsi="Arial" w:cs="Arial"/>
        </w:rPr>
      </w:r>
    </w:p>
    <w:p w14:paraId="4C592E62">
      <w:pPr>
        <w:pBdr/>
        <w:spacing/>
        <w:ind/>
        <w:rPr>
          <w:rFonts w:ascii="Arial" w:hAnsi="Arial" w:cs="Arial"/>
        </w:rPr>
      </w:pPr>
      <w:r>
        <w:rPr>
          <w:rFonts w:ascii="Arial" w:hAnsi="Arial" w:eastAsia="Arial" w:cs="Arial"/>
        </w:rPr>
      </w:r>
      <w:r>
        <w:rPr>
          <w:rFonts w:ascii="Arial" w:hAnsi="Arial" w:eastAsia="Arial" w:cs="Arial"/>
        </w:rPr>
      </w:r>
      <w:r>
        <w:rPr>
          <w:rFonts w:ascii="Arial" w:hAnsi="Arial" w:cs="Arial"/>
        </w:rPr>
      </w:r>
    </w:p>
    <w:tbl>
      <w:tblPr>
        <w:tblInd w:w="117"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817"/>
        <w:gridCol w:w="7370"/>
        <w:gridCol w:w="1054"/>
      </w:tblGrid>
      <w:tr>
        <w:trPr>
          <w:trHeight w:val="509"/>
        </w:trPr>
        <w:tc>
          <w:tcPr>
            <w:gridSpan w:val="3"/>
            <w:tcBorders/>
            <w:tcW w:w="9241" w:type="dxa"/>
          </w:tcPr>
          <w:p w14:paraId="0F8E462D">
            <w:pPr>
              <w:pStyle w:val="897"/>
              <w:pBdr/>
              <w:spacing w:before="121"/>
              <w:ind w:right="2441" w:left="2450"/>
              <w:jc w:val="center"/>
              <w:rPr>
                <w:rFonts w:ascii="Arial" w:hAnsi="Arial" w:cs="Arial"/>
                <w:b/>
                <w:i/>
                <w:sz w:val="22"/>
              </w:rPr>
            </w:pPr>
            <w:r>
              <w:rPr>
                <w:rFonts w:ascii="Arial" w:hAnsi="Arial" w:eastAsia="Arial" w:cs="Arial"/>
                <w:b/>
                <w:i/>
                <w:sz w:val="22"/>
              </w:rPr>
              <w:t xml:space="preserve">Infrastructure component of the riskiness index</w:t>
            </w:r>
            <w:r>
              <w:rPr>
                <w:rFonts w:ascii="Arial" w:hAnsi="Arial" w:eastAsia="Arial" w:cs="Arial"/>
                <w:b/>
                <w:i/>
                <w:sz w:val="22"/>
              </w:rPr>
            </w:r>
            <w:r>
              <w:rPr>
                <w:rFonts w:ascii="Arial" w:hAnsi="Arial" w:cs="Arial"/>
                <w:b/>
                <w:i/>
                <w:sz w:val="22"/>
              </w:rPr>
            </w:r>
          </w:p>
        </w:tc>
      </w:tr>
      <w:tr>
        <w:trPr>
          <w:trHeight w:val="509"/>
        </w:trPr>
        <w:tc>
          <w:tcPr>
            <w:tcBorders/>
            <w:tcW w:w="817" w:type="dxa"/>
          </w:tcPr>
          <w:p w14:paraId="4FE34224">
            <w:pPr>
              <w:pStyle w:val="897"/>
              <w:pBdr/>
              <w:spacing w:before="121"/>
              <w:ind/>
              <w:rPr>
                <w:rFonts w:ascii="Arial" w:hAnsi="Arial" w:cs="Arial"/>
                <w:b/>
                <w:sz w:val="22"/>
              </w:rPr>
            </w:pPr>
            <w:r>
              <w:rPr>
                <w:rFonts w:ascii="Arial" w:hAnsi="Arial" w:eastAsia="Arial" w:cs="Arial"/>
                <w:b/>
                <w:sz w:val="22"/>
              </w:rPr>
              <w:t xml:space="preserve">Code</w:t>
            </w:r>
            <w:r>
              <w:rPr>
                <w:rFonts w:ascii="Arial" w:hAnsi="Arial" w:eastAsia="Arial" w:cs="Arial"/>
                <w:b/>
                <w:sz w:val="22"/>
              </w:rPr>
            </w:r>
            <w:r>
              <w:rPr>
                <w:rFonts w:ascii="Arial" w:hAnsi="Arial" w:cs="Arial"/>
                <w:b/>
                <w:sz w:val="22"/>
              </w:rPr>
            </w:r>
          </w:p>
        </w:tc>
        <w:tc>
          <w:tcPr>
            <w:tcBorders/>
            <w:tcW w:w="7370" w:type="dxa"/>
          </w:tcPr>
          <w:p w14:paraId="13DEF5CB">
            <w:pPr>
              <w:pStyle w:val="897"/>
              <w:pBdr/>
              <w:spacing w:before="121"/>
              <w:ind/>
              <w:rPr>
                <w:rFonts w:ascii="Arial" w:hAnsi="Arial" w:cs="Arial"/>
                <w:b/>
                <w:sz w:val="22"/>
              </w:rPr>
            </w:pPr>
            <w:r>
              <w:rPr>
                <w:rFonts w:ascii="Arial" w:hAnsi="Arial" w:eastAsia="Arial" w:cs="Arial"/>
                <w:b/>
                <w:sz w:val="22"/>
              </w:rPr>
              <w:t xml:space="preserve">Description</w:t>
            </w:r>
            <w:r>
              <w:rPr>
                <w:rFonts w:ascii="Arial" w:hAnsi="Arial" w:eastAsia="Arial" w:cs="Arial"/>
                <w:b/>
                <w:sz w:val="22"/>
              </w:rPr>
            </w:r>
            <w:r>
              <w:rPr>
                <w:rFonts w:ascii="Arial" w:hAnsi="Arial" w:cs="Arial"/>
                <w:b/>
                <w:sz w:val="22"/>
              </w:rPr>
            </w:r>
          </w:p>
        </w:tc>
        <w:tc>
          <w:tcPr>
            <w:tcBorders/>
            <w:tcW w:w="1054" w:type="dxa"/>
          </w:tcPr>
          <w:p w14:paraId="55A425E9">
            <w:pPr>
              <w:pStyle w:val="897"/>
              <w:pBdr/>
              <w:spacing w:before="121"/>
              <w:ind w:left="108"/>
              <w:rPr>
                <w:rFonts w:ascii="Arial" w:hAnsi="Arial" w:cs="Arial"/>
                <w:b/>
                <w:sz w:val="22"/>
              </w:rPr>
            </w:pPr>
            <w:r>
              <w:rPr>
                <w:rFonts w:ascii="Arial" w:hAnsi="Arial" w:eastAsia="Arial" w:cs="Arial"/>
                <w:b/>
                <w:sz w:val="22"/>
              </w:rPr>
              <w:t xml:space="preserve">Score</w:t>
            </w:r>
            <w:r>
              <w:rPr>
                <w:rFonts w:ascii="Arial" w:hAnsi="Arial" w:eastAsia="Arial" w:cs="Arial"/>
                <w:b/>
                <w:sz w:val="22"/>
              </w:rPr>
            </w:r>
            <w:r>
              <w:rPr>
                <w:rFonts w:ascii="Arial" w:hAnsi="Arial" w:cs="Arial"/>
                <w:b/>
                <w:sz w:val="22"/>
              </w:rPr>
            </w:r>
          </w:p>
        </w:tc>
      </w:tr>
      <w:tr>
        <w:trPr>
          <w:trHeight w:val="419"/>
        </w:trPr>
        <w:tc>
          <w:tcPr>
            <w:tcBorders/>
            <w:tcW w:w="817" w:type="dxa"/>
          </w:tcPr>
          <w:p w14:paraId="3413A411">
            <w:pPr>
              <w:pStyle w:val="897"/>
              <w:pBdr/>
              <w:spacing w:before="110"/>
              <w:ind/>
              <w:rPr>
                <w:rFonts w:ascii="Arial" w:hAnsi="Arial" w:cs="Arial"/>
                <w:sz w:val="22"/>
              </w:rPr>
            </w:pPr>
            <w:r>
              <w:rPr>
                <w:rFonts w:ascii="Arial" w:hAnsi="Arial" w:eastAsia="Arial" w:cs="Arial"/>
                <w:sz w:val="22"/>
              </w:rPr>
              <w:t xml:space="preserve">2.1</w:t>
            </w:r>
            <w:r>
              <w:rPr>
                <w:rFonts w:ascii="Arial" w:hAnsi="Arial" w:eastAsia="Arial" w:cs="Arial"/>
                <w:sz w:val="22"/>
              </w:rPr>
            </w:r>
            <w:r>
              <w:rPr>
                <w:rFonts w:ascii="Arial" w:hAnsi="Arial" w:cs="Arial"/>
                <w:sz w:val="22"/>
              </w:rPr>
            </w:r>
          </w:p>
        </w:tc>
        <w:tc>
          <w:tcPr>
            <w:tcBorders/>
            <w:tcW w:w="7370" w:type="dxa"/>
          </w:tcPr>
          <w:p w14:paraId="1E2A6F11">
            <w:pPr>
              <w:pStyle w:val="897"/>
              <w:pBdr/>
              <w:spacing w:before="110"/>
              <w:ind w:left="108"/>
              <w:rPr>
                <w:rFonts w:ascii="Arial" w:hAnsi="Arial" w:cs="Arial"/>
                <w:sz w:val="22"/>
              </w:rPr>
            </w:pPr>
            <w:r>
              <w:rPr>
                <w:rFonts w:ascii="Arial" w:hAnsi="Arial" w:eastAsia="Arial" w:cs="Arial"/>
                <w:sz w:val="22"/>
              </w:rPr>
              <w:t xml:space="preserve">Availability or cost of people skills, competencies and experience</w:t>
            </w:r>
            <w:r>
              <w:rPr>
                <w:rFonts w:ascii="Arial" w:hAnsi="Arial" w:eastAsia="Arial" w:cs="Arial"/>
                <w:sz w:val="22"/>
              </w:rPr>
            </w:r>
            <w:r>
              <w:rPr>
                <w:rFonts w:ascii="Arial" w:hAnsi="Arial" w:cs="Arial"/>
                <w:sz w:val="22"/>
              </w:rPr>
            </w:r>
          </w:p>
        </w:tc>
        <w:tc>
          <w:tcPr>
            <w:tcBorders/>
            <w:tcW w:w="1054" w:type="dxa"/>
          </w:tcPr>
          <w:p w14:paraId="0B1243E1">
            <w:pPr>
              <w:pStyle w:val="897"/>
              <w:pBdr/>
              <w:spacing w:before="0"/>
              <w:ind w:left="0"/>
              <w:rPr>
                <w:rFonts w:ascii="Arial" w:hAnsi="Arial" w:cs="Arial"/>
                <w:sz w:val="20"/>
              </w:rPr>
            </w:pPr>
            <w:r>
              <w:rPr>
                <w:rFonts w:ascii="Arial" w:hAnsi="Arial" w:eastAsia="Arial" w:cs="Arial"/>
                <w:sz w:val="20"/>
              </w:rPr>
              <w:t xml:space="preserve">4</w:t>
            </w:r>
            <w:r>
              <w:rPr>
                <w:rFonts w:ascii="Arial" w:hAnsi="Arial" w:eastAsia="Arial" w:cs="Arial"/>
                <w:sz w:val="20"/>
              </w:rPr>
            </w:r>
            <w:r>
              <w:rPr>
                <w:rFonts w:ascii="Arial" w:hAnsi="Arial" w:cs="Arial"/>
                <w:sz w:val="20"/>
              </w:rPr>
            </w:r>
          </w:p>
        </w:tc>
      </w:tr>
      <w:tr>
        <w:trPr>
          <w:trHeight w:val="418"/>
        </w:trPr>
        <w:tc>
          <w:tcPr>
            <w:tcBorders/>
            <w:tcW w:w="817" w:type="dxa"/>
          </w:tcPr>
          <w:p w14:paraId="04EAD64C">
            <w:pPr>
              <w:pStyle w:val="897"/>
              <w:pBdr/>
              <w:spacing/>
              <w:ind/>
              <w:rPr>
                <w:rFonts w:ascii="Arial" w:hAnsi="Arial" w:cs="Arial"/>
                <w:sz w:val="22"/>
              </w:rPr>
            </w:pPr>
            <w:r>
              <w:rPr>
                <w:rFonts w:ascii="Arial" w:hAnsi="Arial" w:eastAsia="Arial" w:cs="Arial"/>
                <w:sz w:val="22"/>
              </w:rPr>
              <w:t xml:space="preserve">2.2</w:t>
            </w:r>
            <w:r>
              <w:rPr>
                <w:rFonts w:ascii="Arial" w:hAnsi="Arial" w:eastAsia="Arial" w:cs="Arial"/>
                <w:sz w:val="22"/>
              </w:rPr>
            </w:r>
            <w:r>
              <w:rPr>
                <w:rFonts w:ascii="Arial" w:hAnsi="Arial" w:cs="Arial"/>
                <w:sz w:val="22"/>
              </w:rPr>
            </w:r>
          </w:p>
        </w:tc>
        <w:tc>
          <w:tcPr>
            <w:tcBorders/>
            <w:tcW w:w="7370" w:type="dxa"/>
          </w:tcPr>
          <w:p w14:paraId="29CDCA08">
            <w:pPr>
              <w:pStyle w:val="897"/>
              <w:pBdr/>
              <w:spacing/>
              <w:ind w:left="108"/>
              <w:rPr>
                <w:rFonts w:ascii="Arial" w:hAnsi="Arial" w:cs="Arial"/>
                <w:sz w:val="22"/>
              </w:rPr>
            </w:pPr>
            <w:r>
              <w:rPr>
                <w:rFonts w:ascii="Arial" w:hAnsi="Arial" w:eastAsia="Arial" w:cs="Arial"/>
                <w:sz w:val="22"/>
              </w:rPr>
              <w:t xml:space="preserve">Inadequate premises, plant and equipment to support operations</w:t>
            </w:r>
            <w:r>
              <w:rPr>
                <w:rFonts w:ascii="Arial" w:hAnsi="Arial" w:eastAsia="Arial" w:cs="Arial"/>
                <w:sz w:val="22"/>
              </w:rPr>
            </w:r>
            <w:r>
              <w:rPr>
                <w:rFonts w:ascii="Arial" w:hAnsi="Arial" w:cs="Arial"/>
                <w:sz w:val="22"/>
              </w:rPr>
            </w:r>
          </w:p>
        </w:tc>
        <w:tc>
          <w:tcPr>
            <w:tcBorders/>
            <w:tcW w:w="1054" w:type="dxa"/>
          </w:tcPr>
          <w:p w14:paraId="1E091F24">
            <w:pPr>
              <w:pStyle w:val="897"/>
              <w:pBdr/>
              <w:spacing w:before="0"/>
              <w:ind w:left="0"/>
              <w:rPr>
                <w:rFonts w:ascii="Arial" w:hAnsi="Arial" w:cs="Arial"/>
                <w:sz w:val="20"/>
              </w:rPr>
            </w:pPr>
            <w:r>
              <w:rPr>
                <w:rFonts w:ascii="Arial" w:hAnsi="Arial" w:eastAsia="Arial" w:cs="Arial"/>
                <w:sz w:val="20"/>
              </w:rPr>
              <w:t xml:space="preserve">1</w:t>
            </w:r>
            <w:r>
              <w:rPr>
                <w:rFonts w:ascii="Arial" w:hAnsi="Arial" w:eastAsia="Arial" w:cs="Arial"/>
                <w:sz w:val="20"/>
              </w:rPr>
            </w:r>
            <w:r>
              <w:rPr>
                <w:rFonts w:ascii="Arial" w:hAnsi="Arial" w:cs="Arial"/>
                <w:sz w:val="20"/>
              </w:rPr>
            </w:r>
          </w:p>
        </w:tc>
      </w:tr>
      <w:tr>
        <w:trPr>
          <w:trHeight w:val="419"/>
        </w:trPr>
        <w:tc>
          <w:tcPr>
            <w:tcBorders/>
            <w:tcW w:w="817" w:type="dxa"/>
          </w:tcPr>
          <w:p w14:paraId="506A5F27">
            <w:pPr>
              <w:pStyle w:val="897"/>
              <w:pBdr/>
              <w:spacing w:before="110"/>
              <w:ind/>
              <w:rPr>
                <w:rFonts w:ascii="Arial" w:hAnsi="Arial" w:cs="Arial"/>
                <w:sz w:val="22"/>
              </w:rPr>
            </w:pPr>
            <w:r>
              <w:rPr>
                <w:rFonts w:ascii="Arial" w:hAnsi="Arial" w:eastAsia="Arial" w:cs="Arial"/>
                <w:sz w:val="22"/>
              </w:rPr>
              <w:t xml:space="preserve">2.3</w:t>
            </w:r>
            <w:r>
              <w:rPr>
                <w:rFonts w:ascii="Arial" w:hAnsi="Arial" w:eastAsia="Arial" w:cs="Arial"/>
                <w:sz w:val="22"/>
              </w:rPr>
            </w:r>
            <w:r>
              <w:rPr>
                <w:rFonts w:ascii="Arial" w:hAnsi="Arial" w:cs="Arial"/>
                <w:sz w:val="22"/>
              </w:rPr>
            </w:r>
          </w:p>
        </w:tc>
        <w:tc>
          <w:tcPr>
            <w:tcBorders/>
            <w:tcW w:w="7370" w:type="dxa"/>
          </w:tcPr>
          <w:p w14:paraId="3CEC4C7C">
            <w:pPr>
              <w:pStyle w:val="897"/>
              <w:pBdr/>
              <w:spacing w:before="110"/>
              <w:ind w:left="108"/>
              <w:rPr>
                <w:rFonts w:ascii="Arial" w:hAnsi="Arial" w:cs="Arial"/>
                <w:sz w:val="22"/>
              </w:rPr>
            </w:pPr>
            <w:r>
              <w:rPr>
                <w:rFonts w:ascii="Arial" w:hAnsi="Arial" w:eastAsia="Arial" w:cs="Arial"/>
                <w:sz w:val="22"/>
              </w:rPr>
              <w:t xml:space="preserve">Processes, including IT infrastructure, have insufficient resilience</w:t>
            </w:r>
            <w:r>
              <w:rPr>
                <w:rFonts w:ascii="Arial" w:hAnsi="Arial" w:eastAsia="Arial" w:cs="Arial"/>
                <w:sz w:val="22"/>
              </w:rPr>
            </w:r>
            <w:r>
              <w:rPr>
                <w:rFonts w:ascii="Arial" w:hAnsi="Arial" w:cs="Arial"/>
                <w:sz w:val="22"/>
              </w:rPr>
            </w:r>
          </w:p>
        </w:tc>
        <w:tc>
          <w:tcPr>
            <w:tcBorders/>
            <w:tcW w:w="1054" w:type="dxa"/>
          </w:tcPr>
          <w:p w14:paraId="75C15CA1">
            <w:pPr>
              <w:pStyle w:val="897"/>
              <w:pBdr/>
              <w:spacing w:before="0"/>
              <w:ind w:left="0"/>
              <w:rPr>
                <w:rFonts w:ascii="Arial" w:hAnsi="Arial" w:cs="Arial"/>
                <w:sz w:val="20"/>
              </w:rPr>
            </w:pPr>
            <w:r>
              <w:rPr>
                <w:rFonts w:ascii="Arial" w:hAnsi="Arial" w:eastAsia="Arial" w:cs="Arial"/>
                <w:sz w:val="20"/>
              </w:rPr>
              <w:t xml:space="preserve">5</w:t>
            </w:r>
            <w:r>
              <w:rPr>
                <w:rFonts w:ascii="Arial" w:hAnsi="Arial" w:eastAsia="Arial" w:cs="Arial"/>
                <w:sz w:val="20"/>
              </w:rPr>
            </w:r>
            <w:r>
              <w:rPr>
                <w:rFonts w:ascii="Arial" w:hAnsi="Arial" w:cs="Arial"/>
                <w:sz w:val="20"/>
              </w:rPr>
            </w:r>
          </w:p>
        </w:tc>
      </w:tr>
      <w:tr>
        <w:trPr>
          <w:trHeight w:val="418"/>
        </w:trPr>
        <w:tc>
          <w:tcPr>
            <w:tcBorders/>
            <w:tcW w:w="817" w:type="dxa"/>
          </w:tcPr>
          <w:p w14:paraId="402EA83B">
            <w:pPr>
              <w:pStyle w:val="897"/>
              <w:pBdr/>
              <w:spacing/>
              <w:ind/>
              <w:rPr>
                <w:rFonts w:ascii="Arial" w:hAnsi="Arial" w:cs="Arial"/>
                <w:sz w:val="22"/>
              </w:rPr>
            </w:pPr>
            <w:r>
              <w:rPr>
                <w:rFonts w:ascii="Arial" w:hAnsi="Arial" w:eastAsia="Arial" w:cs="Arial"/>
                <w:sz w:val="22"/>
              </w:rPr>
              <w:t xml:space="preserve">2.4</w:t>
            </w:r>
            <w:r>
              <w:rPr>
                <w:rFonts w:ascii="Arial" w:hAnsi="Arial" w:eastAsia="Arial" w:cs="Arial"/>
                <w:sz w:val="22"/>
              </w:rPr>
            </w:r>
            <w:r>
              <w:rPr>
                <w:rFonts w:ascii="Arial" w:hAnsi="Arial" w:cs="Arial"/>
                <w:sz w:val="22"/>
              </w:rPr>
            </w:r>
          </w:p>
        </w:tc>
        <w:tc>
          <w:tcPr>
            <w:tcBorders/>
            <w:tcW w:w="7370" w:type="dxa"/>
          </w:tcPr>
          <w:p w14:paraId="4652596B">
            <w:pPr>
              <w:pStyle w:val="897"/>
              <w:pBdr/>
              <w:spacing/>
              <w:ind w:left="108"/>
              <w:rPr>
                <w:rFonts w:ascii="Arial" w:hAnsi="Arial" w:cs="Arial"/>
                <w:sz w:val="22"/>
              </w:rPr>
            </w:pPr>
            <w:r>
              <w:rPr>
                <w:rFonts w:ascii="Arial" w:hAnsi="Arial" w:eastAsia="Arial" w:cs="Arial"/>
                <w:sz w:val="22"/>
              </w:rPr>
              <w:t xml:space="preserve">Product availability inadequate, including supplier unreliability</w:t>
            </w:r>
            <w:r>
              <w:rPr>
                <w:rFonts w:ascii="Arial" w:hAnsi="Arial" w:eastAsia="Arial" w:cs="Arial"/>
                <w:sz w:val="22"/>
              </w:rPr>
            </w:r>
            <w:r>
              <w:rPr>
                <w:rFonts w:ascii="Arial" w:hAnsi="Arial" w:cs="Arial"/>
                <w:sz w:val="22"/>
              </w:rPr>
            </w:r>
          </w:p>
        </w:tc>
        <w:tc>
          <w:tcPr>
            <w:tcBorders/>
            <w:tcW w:w="1054" w:type="dxa"/>
          </w:tcPr>
          <w:p w14:paraId="6FDCC5F5">
            <w:pPr>
              <w:pStyle w:val="897"/>
              <w:pBdr/>
              <w:spacing w:before="0"/>
              <w:ind w:left="0"/>
              <w:rPr>
                <w:rFonts w:ascii="Arial" w:hAnsi="Arial" w:cs="Arial"/>
                <w:sz w:val="20"/>
              </w:rPr>
            </w:pPr>
            <w:r>
              <w:rPr>
                <w:rFonts w:ascii="Arial" w:hAnsi="Arial" w:eastAsia="Arial" w:cs="Arial"/>
                <w:sz w:val="20"/>
              </w:rPr>
              <w:t xml:space="preserve">3</w:t>
            </w:r>
            <w:r>
              <w:rPr>
                <w:rFonts w:ascii="Arial" w:hAnsi="Arial" w:eastAsia="Arial" w:cs="Arial"/>
                <w:sz w:val="20"/>
              </w:rPr>
            </w:r>
            <w:r>
              <w:rPr>
                <w:rFonts w:ascii="Arial" w:hAnsi="Arial" w:cs="Arial"/>
                <w:sz w:val="20"/>
              </w:rPr>
            </w:r>
          </w:p>
        </w:tc>
      </w:tr>
      <w:tr>
        <w:trPr>
          <w:trHeight w:val="509"/>
        </w:trPr>
        <w:tc>
          <w:tcPr>
            <w:tcBorders/>
            <w:tcW w:w="817" w:type="dxa"/>
          </w:tcPr>
          <w:p w14:paraId="1DAB64D5">
            <w:pPr>
              <w:pStyle w:val="897"/>
              <w:pBdr/>
              <w:spacing w:before="0"/>
              <w:ind w:left="0"/>
              <w:rPr>
                <w:rFonts w:ascii="Arial" w:hAnsi="Arial" w:cs="Arial"/>
                <w:sz w:val="20"/>
              </w:rPr>
            </w:pPr>
            <w:r>
              <w:rPr>
                <w:rFonts w:ascii="Arial" w:hAnsi="Arial" w:eastAsia="Arial" w:cs="Arial"/>
                <w:sz w:val="20"/>
              </w:rPr>
            </w:r>
            <w:r>
              <w:rPr>
                <w:rFonts w:ascii="Arial" w:hAnsi="Arial" w:eastAsia="Arial" w:cs="Arial"/>
                <w:sz w:val="20"/>
              </w:rPr>
            </w:r>
            <w:r>
              <w:rPr>
                <w:rFonts w:ascii="Arial" w:hAnsi="Arial" w:cs="Arial"/>
                <w:sz w:val="20"/>
              </w:rPr>
            </w:r>
          </w:p>
        </w:tc>
        <w:tc>
          <w:tcPr>
            <w:tcBorders/>
            <w:tcW w:w="7370" w:type="dxa"/>
          </w:tcPr>
          <w:p w14:paraId="60958A1D">
            <w:pPr>
              <w:pStyle w:val="897"/>
              <w:pBdr/>
              <w:spacing w:before="121"/>
              <w:ind/>
              <w:rPr>
                <w:rFonts w:ascii="Arial" w:hAnsi="Arial" w:cs="Arial"/>
                <w:b/>
                <w:sz w:val="22"/>
              </w:rPr>
            </w:pPr>
            <w:r>
              <w:rPr>
                <w:rFonts w:ascii="Arial" w:hAnsi="Arial" w:eastAsia="Arial" w:cs="Arial"/>
                <w:b/>
                <w:sz w:val="22"/>
              </w:rPr>
              <w:t xml:space="preserve">TOTAL for infrastructure component</w:t>
            </w:r>
            <w:r>
              <w:rPr>
                <w:rFonts w:ascii="Arial" w:hAnsi="Arial" w:eastAsia="Arial" w:cs="Arial"/>
                <w:b/>
                <w:sz w:val="22"/>
              </w:rPr>
            </w:r>
            <w:r>
              <w:rPr>
                <w:rFonts w:ascii="Arial" w:hAnsi="Arial" w:cs="Arial"/>
                <w:b/>
                <w:sz w:val="22"/>
              </w:rPr>
            </w:r>
          </w:p>
        </w:tc>
        <w:tc>
          <w:tcPr>
            <w:tcBorders/>
            <w:tcW w:w="1054" w:type="dxa"/>
          </w:tcPr>
          <w:p w14:paraId="361E7535">
            <w:pPr>
              <w:pStyle w:val="897"/>
              <w:pBdr/>
              <w:spacing w:before="0"/>
              <w:ind w:left="0"/>
              <w:rPr>
                <w:rFonts w:ascii="Arial" w:hAnsi="Arial" w:cs="Arial"/>
                <w:sz w:val="20"/>
              </w:rPr>
            </w:pPr>
            <w:r>
              <w:rPr>
                <w:rFonts w:ascii="Arial" w:hAnsi="Arial" w:eastAsia="Arial" w:cs="Arial"/>
                <w:sz w:val="20"/>
              </w:rPr>
              <w:t xml:space="preserve">13</w:t>
            </w:r>
            <w:r>
              <w:rPr>
                <w:rFonts w:ascii="Arial" w:hAnsi="Arial" w:eastAsia="Arial" w:cs="Arial"/>
                <w:sz w:val="20"/>
              </w:rPr>
            </w:r>
            <w:r>
              <w:rPr>
                <w:rFonts w:ascii="Arial" w:hAnsi="Arial" w:cs="Arial"/>
                <w:sz w:val="20"/>
              </w:rPr>
            </w:r>
          </w:p>
        </w:tc>
      </w:tr>
    </w:tbl>
    <w:p w14:paraId="3A1656E1">
      <w:pPr>
        <w:pBdr/>
        <w:spacing/>
        <w:ind/>
        <w:rPr>
          <w:rFonts w:ascii="Arial" w:hAnsi="Arial" w:cs="Arial"/>
        </w:rPr>
      </w:pPr>
      <w:r>
        <w:rPr>
          <w:rFonts w:ascii="Arial" w:hAnsi="Arial" w:eastAsia="Arial" w:cs="Arial"/>
        </w:rPr>
      </w:r>
      <w:r>
        <w:rPr>
          <w:rFonts w:ascii="Arial" w:hAnsi="Arial" w:eastAsia="Arial" w:cs="Arial"/>
        </w:rPr>
      </w:r>
      <w:r>
        <w:rPr>
          <w:rFonts w:ascii="Arial" w:hAnsi="Arial" w:cs="Arial"/>
        </w:rPr>
      </w:r>
    </w:p>
    <w:p w14:paraId="26A748FC">
      <w:pPr>
        <w:pBdr/>
        <w:spacing/>
        <w:ind/>
        <w:rPr>
          <w:rFonts w:ascii="Arial" w:hAnsi="Arial" w:cs="Arial"/>
        </w:rPr>
      </w:pPr>
      <w:r>
        <w:rPr>
          <w:rFonts w:ascii="Arial" w:hAnsi="Arial" w:eastAsia="Arial" w:cs="Arial"/>
        </w:rPr>
      </w:r>
      <w:r>
        <w:rPr>
          <w:rFonts w:ascii="Arial" w:hAnsi="Arial" w:eastAsia="Arial" w:cs="Arial"/>
        </w:rPr>
      </w:r>
      <w:r>
        <w:rPr>
          <w:rFonts w:ascii="Arial" w:hAnsi="Arial" w:cs="Arial"/>
        </w:rPr>
      </w:r>
    </w:p>
    <w:p w14:paraId="5FE64286">
      <w:pPr>
        <w:pBdr/>
        <w:spacing/>
        <w:ind/>
        <w:rPr>
          <w:rFonts w:ascii="Arial" w:hAnsi="Arial" w:cs="Arial"/>
        </w:rPr>
      </w:pPr>
      <w:r>
        <w:rPr>
          <w:rFonts w:ascii="Arial" w:hAnsi="Arial" w:eastAsia="Arial" w:cs="Arial"/>
        </w:rPr>
      </w:r>
      <w:r>
        <w:rPr>
          <w:rFonts w:ascii="Arial" w:hAnsi="Arial" w:eastAsia="Arial" w:cs="Arial"/>
        </w:rPr>
      </w:r>
      <w:r>
        <w:rPr>
          <w:rFonts w:ascii="Arial" w:hAnsi="Arial" w:cs="Arial"/>
        </w:rPr>
      </w:r>
    </w:p>
    <w:p w14:paraId="3DC80AEB">
      <w:pPr>
        <w:pStyle w:val="834"/>
        <w:pBdr/>
        <w:spacing/>
        <w:ind/>
        <w:rPr>
          <w:rFonts w:ascii="Arial" w:hAnsi="Arial" w:cs="Arial"/>
        </w:rPr>
      </w:pPr>
      <w:r>
        <w:rPr>
          <w:rFonts w:ascii="Arial" w:hAnsi="Arial" w:eastAsia="Arial" w:cs="Arial"/>
        </w:rPr>
        <w:t xml:space="preserve">People Skills</w:t>
      </w:r>
      <w:r>
        <w:rPr>
          <w:rFonts w:ascii="Arial" w:hAnsi="Arial" w:eastAsia="Arial" w:cs="Arial"/>
        </w:rPr>
      </w:r>
      <w:r>
        <w:rPr>
          <w:rFonts w:ascii="Arial" w:hAnsi="Arial" w:cs="Arial"/>
        </w:rPr>
      </w:r>
    </w:p>
    <w:p w14:paraId="767F8539">
      <w:pPr>
        <w:pBdr/>
        <w:spacing/>
        <w:ind/>
        <w:rPr>
          <w:rFonts w:ascii="Arial" w:hAnsi="Arial" w:cs="Arial"/>
        </w:rPr>
      </w:pPr>
      <w:r>
        <w:rPr>
          <w:rFonts w:ascii="Arial" w:hAnsi="Arial" w:eastAsia="Arial" w:cs="Arial"/>
          <w:highlight w:val="none"/>
        </w:rPr>
        <w:t xml:space="preserve">A</w:t>
      </w:r>
      <w:r>
        <w:rPr>
          <w:rFonts w:ascii="Arial" w:hAnsi="Arial" w:eastAsia="Arial" w:cs="Arial"/>
          <w:highlight w:val="none"/>
        </w:rPr>
        <w:t xml:space="preserve">s observed during the COVID-19 pandemic, one of the biggest challenges companies faced was the change to their workforce's routine, and how employees adapted to the new working conditions and company culture. Without a plan for mandatory work from home, st</w:t>
      </w:r>
      <w:r>
        <w:rPr>
          <w:rFonts w:ascii="Arial" w:hAnsi="Arial" w:eastAsia="Arial" w:cs="Arial"/>
          <w:highlight w:val="none"/>
        </w:rPr>
        <w:t xml:space="preserve">a</w:t>
      </w:r>
      <w:r>
        <w:rPr>
          <w:rFonts w:ascii="Arial" w:hAnsi="Arial" w:eastAsia="Arial" w:cs="Arial"/>
          <w:highlight w:val="none"/>
        </w:rPr>
        <w:t xml:space="preserve">ff productivity can drop significantly, the lack of in-person conversations can lead to communication issues, and employees may struggle to resolve problems or access company resources. Illness and isolation can also reduce the number of available staff, a</w:t>
      </w:r>
      <w:r>
        <w:rPr>
          <w:rFonts w:ascii="Arial" w:hAnsi="Arial" w:eastAsia="Arial" w:cs="Arial"/>
          <w:highlight w:val="none"/>
        </w:rPr>
        <w:t xml:space="preserve">nd key roles in IT, claims and customer support are difficult to replace at short notice.</w:t>
      </w:r>
      <w:r>
        <w:rPr>
          <w:rFonts w:ascii="Arial" w:hAnsi="Arial" w:eastAsia="Arial" w:cs="Arial"/>
          <w:highlight w:val="none"/>
        </w:rPr>
      </w:r>
      <w:r>
        <w:rPr>
          <w:rFonts w:ascii="Arial" w:hAnsi="Arial" w:cs="Arial"/>
        </w:rPr>
      </w:r>
    </w:p>
    <w:p w14:paraId="5E8B8D78">
      <w:pPr>
        <w:pBdr/>
        <w:spacing/>
        <w:ind/>
        <w:rPr>
          <w:rFonts w:ascii="Arial" w:hAnsi="Arial" w:eastAsia="Arial" w:cs="Arial"/>
          <w:highlight w:val="none"/>
        </w:rPr>
      </w:pPr>
      <w:r>
        <w:rPr>
          <w:rFonts w:ascii="Arial" w:hAnsi="Arial" w:eastAsia="Arial" w:cs="Arial"/>
          <w:highlight w:val="none"/>
        </w:rPr>
        <w:t xml:space="preserve">T</w:t>
      </w:r>
      <w:r>
        <w:rPr>
          <w:rFonts w:ascii="Arial" w:hAnsi="Arial" w:eastAsia="Arial" w:cs="Arial"/>
          <w:highlight w:val="none"/>
        </w:rPr>
        <w:t xml:space="preserve">his risk can be reduced by having a plan in place before any change to working routines occurs. Such a plan should include remote-work tools, training, and clear access to company resources so that employees remain effective and can work without difficulty</w:t>
      </w:r>
      <w:r>
        <w:rPr>
          <w:rFonts w:ascii="Arial" w:hAnsi="Arial" w:eastAsia="Arial" w:cs="Arial"/>
          <w:highlight w:val="none"/>
        </w:rPr>
        <w:t xml:space="preserve">.</w:t>
      </w:r>
      <w:r>
        <w:rPr>
          <w:rFonts w:ascii="Arial" w:hAnsi="Arial" w:cs="Arial"/>
          <w:highlight w:val="none"/>
        </w:rPr>
      </w:r>
      <w:r>
        <w:rPr>
          <w:rFonts w:ascii="Arial" w:hAnsi="Arial" w:eastAsia="Arial" w:cs="Arial"/>
          <w:highlight w:val="none"/>
        </w:rPr>
      </w:r>
    </w:p>
    <w:p w14:paraId="3E7E1BE5">
      <w:pPr>
        <w:pStyle w:val="834"/>
        <w:pBdr/>
        <w:spacing/>
        <w:ind/>
        <w:rPr>
          <w:rFonts w:ascii="Arial" w:hAnsi="Arial" w:cs="Arial"/>
          <w:highlight w:val="none"/>
        </w:rPr>
      </w:pPr>
      <w:r>
        <w:rPr>
          <w:rFonts w:ascii="Arial" w:hAnsi="Arial" w:cs="Arial"/>
          <w:highlight w:val="none"/>
        </w:rPr>
      </w:r>
      <w:r>
        <w:rPr>
          <w:rFonts w:ascii="Arial" w:hAnsi="Arial" w:cs="Arial"/>
          <w:highlight w:val="none"/>
        </w:rPr>
        <w:t xml:space="preserve">Inadequate </w:t>
      </w:r>
      <w:r>
        <w:rPr>
          <w:rFonts w:ascii="Arial" w:hAnsi="Arial" w:cs="Arial"/>
          <w:highlight w:val="none"/>
        </w:rPr>
        <w:t xml:space="preserve">Equipment</w:t>
      </w:r>
      <w:r>
        <w:rPr>
          <w:rFonts w:ascii="Arial" w:hAnsi="Arial" w:cs="Arial"/>
          <w:highlight w:val="none"/>
        </w:rPr>
      </w:r>
      <w:r>
        <w:rPr>
          <w:rFonts w:ascii="Arial" w:hAnsi="Arial" w:cs="Arial"/>
          <w:highlight w:val="none"/>
        </w:rPr>
      </w:r>
    </w:p>
    <w:p w14:paraId="39779C9F">
      <w:pPr>
        <w:pBdr/>
        <w:spacing/>
        <w:ind/>
        <w:rPr>
          <w:rFonts w:ascii="Arial" w:hAnsi="Arial" w:cs="Arial"/>
          <w:highlight w:val="none"/>
        </w:rPr>
      </w:pPr>
      <w:r>
        <w:rPr>
          <w:rFonts w:ascii="Arial" w:hAnsi="Arial" w:cs="Arial"/>
          <w:highlight w:val="none"/>
        </w:rPr>
        <w:t xml:space="preserve">Pandemic limits accessing to company building and physical premises and it requires minimal maintenance during the outbreak</w:t>
      </w:r>
      <w:r>
        <w:rPr>
          <w:rFonts w:ascii="Arial" w:hAnsi="Arial" w:cs="Arial"/>
          <w:highlight w:val="none"/>
        </w:rPr>
        <w:t xml:space="preserve">. However, there are risk associated with providing employees with equipment (such as company managed laptops ) while they work from home to ensure the secure access to company sources. Also, if a company holds in house servers it needs proper maintenance.</w:t>
      </w:r>
      <w:r>
        <w:rPr>
          <w:rFonts w:ascii="Arial" w:hAnsi="Arial" w:cs="Arial"/>
          <w:highlight w:val="none"/>
        </w:rPr>
      </w:r>
    </w:p>
    <w:p w14:paraId="663BB550">
      <w:pPr>
        <w:pBdr/>
        <w:spacing/>
        <w:ind/>
        <w:rPr>
          <w:rFonts w:ascii="Arial" w:hAnsi="Arial" w:cs="Arial"/>
          <w:highlight w:val="none"/>
        </w:rPr>
      </w:pPr>
      <w:r>
        <w:rPr>
          <w:rFonts w:ascii="Arial" w:hAnsi="Arial" w:cs="Arial"/>
          <w:highlight w:val="none"/>
        </w:rPr>
        <w:t xml:space="preserve">This part of the infrastructure function can be managed properly if it is planned during conducting the risk management plan to enforce the change management.</w:t>
      </w:r>
      <w:r>
        <w:rPr>
          <w:rFonts w:ascii="Arial" w:hAnsi="Arial" w:cs="Arial"/>
          <w:highlight w:val="none"/>
        </w:rPr>
      </w:r>
    </w:p>
    <w:p w14:paraId="542441B3">
      <w:pPr>
        <w:pBdr/>
        <w:spacing/>
        <w:ind/>
        <w:rPr/>
      </w:pPr>
      <w:r/>
      <w:r/>
    </w:p>
    <w:p w14:paraId="39D9ABD7">
      <w:pPr>
        <w:pStyle w:val="834"/>
        <w:pBdr/>
        <w:spacing/>
        <w:ind/>
        <w:rPr/>
      </w:pPr>
      <w:r>
        <w:rPr>
          <w:rFonts w:ascii="Arial" w:hAnsi="Arial" w:cs="Arial"/>
          <w:highlight w:val="none"/>
        </w:rPr>
        <w:t xml:space="preserve">IT Resilience</w:t>
      </w:r>
      <w:r/>
    </w:p>
    <w:p w14:paraId="56D8A476">
      <w:pPr>
        <w:pBdr/>
        <w:spacing/>
        <w:ind/>
        <w:rPr>
          <w:rFonts w:ascii="Arial" w:hAnsi="Arial" w:cs="Arial"/>
          <w:highlight w:val="none"/>
        </w:rPr>
      </w:pPr>
      <w:r>
        <w:rPr>
          <w:rFonts w:ascii="Arial" w:hAnsi="Arial" w:cs="Arial"/>
          <w:highlight w:val="none"/>
        </w:rPr>
      </w:r>
      <w:r>
        <w:rPr>
          <w:rFonts w:ascii="Arial" w:hAnsi="Arial" w:cs="Arial"/>
          <w:highlight w:val="none"/>
        </w:rPr>
        <w:t xml:space="preserve">“</w:t>
      </w:r>
      <w:r>
        <w:rPr>
          <w:rFonts w:ascii="Arial" w:hAnsi="Arial" w:cs="Arial"/>
          <w:highlight w:val="none"/>
        </w:rPr>
        <w:t xml:space="preserve">T</w:t>
      </w:r>
      <w:r>
        <w:rPr>
          <w:rFonts w:ascii="Arial" w:hAnsi="Arial" w:cs="Arial"/>
          <w:highlight w:val="none"/>
        </w:rPr>
        <w:t xml:space="preserve">he majority of the breach reports, 93%, were due to human error, which includes email and mailing errors, mishandling of data/records using an inappropriate shortcut or workaround and losing or misplacing information, suggesting that the institution may ha</w:t>
      </w:r>
      <w:r>
        <w:rPr>
          <w:rFonts w:ascii="Arial" w:hAnsi="Arial" w:cs="Arial"/>
          <w:highlight w:val="none"/>
        </w:rPr>
        <w:t xml:space="preserve">ve had policies or security procedures in place that were not being followed or enforced. </w:t>
      </w:r>
      <w:r>
        <w:t xml:space="preserve">(</w:t>
      </w:r>
      <w:r>
        <w:rPr>
          <w:rFonts w:ascii="Times New Roman" w:hAnsi="Times New Roman" w:eastAsia="Times New Roman" w:cs="Times New Roman"/>
          <w:color w:val="000000"/>
          <w:sz w:val="24"/>
        </w:rPr>
        <w:t xml:space="preserve">Office of the Privacy Commissioner of Canada</w:t>
      </w:r>
      <w:r>
        <w:t xml:space="preserve">, 2022).</w:t>
      </w:r>
      <w:r>
        <w:rPr>
          <w:rFonts w:ascii="Arial" w:hAnsi="Arial" w:cs="Arial"/>
          <w:highlight w:val="none"/>
        </w:rPr>
        <w:t xml:space="preserve">”</w:t>
      </w:r>
      <w:r>
        <w:rPr>
          <w:rFonts w:ascii="Arial" w:hAnsi="Arial" w:cs="Arial"/>
          <w:highlight w:val="none"/>
        </w:rPr>
      </w:r>
    </w:p>
    <w:p w14:paraId="49463B34">
      <w:pPr>
        <w:pBdr/>
        <w:spacing/>
        <w:ind/>
        <w:rPr/>
      </w:pPr>
      <w:r>
        <w:rPr>
          <w:rFonts w:ascii="Arial" w:hAnsi="Arial" w:cs="Arial"/>
          <w:highlight w:val="none"/>
        </w:rPr>
      </w:r>
      <w:r>
        <w:t xml:space="preserve">This shows the need to enforce policies on how employees access company resources. If ITrustU has not prepared a VPN, secure file sharing, ongoing training with refresher courses, data loss prevention policies and secure private cloud access, it is vulnera</w:t>
      </w:r>
      <w:r>
        <w:t xml:space="preserve">ble to many cyber threats that could damage its reputation and cause data loss costs. ITrustU also relies on on-site servers, an internal network built for office use and a single ISP, all of which come under strain when most staff work from home. A loss o</w:t>
      </w:r>
      <w:r>
        <w:t xml:space="preserve">f IT or network services for more than a day would halt claims processing, premium collection and customer support. This is the highest risk for the company, and its IT infrastructure should be strengthened to be resilient to these threats. </w:t>
      </w:r>
      <w:r>
        <w:rPr>
          <w:rFonts w:ascii="Arial" w:hAnsi="Arial" w:cs="Arial"/>
          <w:highlight w:val="none"/>
        </w:rPr>
      </w:r>
      <w:r/>
    </w:p>
    <w:p w14:paraId="71892143">
      <w:pPr>
        <w:pStyle w:val="834"/>
        <w:pBdr/>
        <w:spacing/>
        <w:ind/>
        <w:rPr>
          <w:rFonts w:ascii="Arial" w:hAnsi="Arial" w:cs="Arial"/>
          <w:highlight w:val="none"/>
        </w:rPr>
      </w:pPr>
      <w:r>
        <w:rPr>
          <w:rFonts w:ascii="Arial" w:hAnsi="Arial" w:eastAsia="Arial" w:cs="Arial"/>
          <w:highlight w:val="none"/>
        </w:rPr>
        <w:t xml:space="preserve">Product Availability</w:t>
      </w:r>
      <w:r>
        <w:rPr>
          <w:rFonts w:ascii="Arial" w:hAnsi="Arial" w:cs="Arial"/>
          <w:highlight w:val="none"/>
        </w:rPr>
      </w:r>
      <w:r>
        <w:rPr>
          <w:rFonts w:ascii="Arial" w:hAnsi="Arial" w:cs="Arial"/>
          <w:highlight w:val="none"/>
        </w:rPr>
      </w:r>
    </w:p>
    <w:p w14:paraId="6B6F71D5">
      <w:pPr>
        <w:pBdr>
          <w:top w:val="none" w:color="000000" w:sz="4" w:space="0"/>
          <w:left w:val="none" w:color="000000" w:sz="4" w:space="0"/>
          <w:bottom w:val="none" w:color="000000" w:sz="4" w:space="0"/>
          <w:right w:val="none" w:color="000000" w:sz="4" w:space="0"/>
        </w:pBdr>
        <w:spacing/>
        <w:ind w:right="0" w:firstLine="0" w:left="0"/>
        <w:rPr/>
      </w:pPr>
      <w:r>
        <w:t xml:space="preserve">When a product fails because of a software or hardware issue, employees should first work with their peers to restore it to a stable state, then find and fix the root cause. Working from home limits communication and staff availability for this. Hosting se</w:t>
      </w:r>
      <w:r>
        <w:t xml:space="preserve">rvices on in-house hardware also makes recovery harder when staff cannot reach the servers.</w:t>
      </w:r>
      <w:r/>
    </w:p>
    <w:p w14:paraId="05222373">
      <w:pPr>
        <w:pBdr>
          <w:top w:val="none" w:color="000000" w:sz="4" w:space="0"/>
          <w:left w:val="none" w:color="000000" w:sz="4" w:space="0"/>
          <w:bottom w:val="none" w:color="000000" w:sz="4" w:space="0"/>
          <w:right w:val="none" w:color="000000" w:sz="4" w:space="0"/>
        </w:pBdr>
        <w:spacing/>
        <w:ind w:right="0" w:firstLine="0" w:left="0"/>
        <w:rPr/>
      </w:pPr>
      <w:r>
        <w:t xml:space="preserve">ITrustU also depends on third parties such as its ISP, cloud provider, security consultants, and mail, print and shredding services, which may be disrupted during a pandemic. Because ITrustU sells services rather than physical goods, and its cloud backup p</w:t>
      </w:r>
      <w:r>
        <w:t xml:space="preserve">rovides some protection, the risk is medium rather than high. Given this, the company should define crisis management and disaster recovery protocols for remote work, and monitor its communication platforms so staff remain available to maintain its product</w:t>
      </w:r>
      <w:r>
        <w:t xml:space="preserve">s. </w:t>
      </w:r>
      <w:r/>
    </w:p>
    <w:p w14:paraId="001ADDF1">
      <w:pPr>
        <w:pBdr/>
        <w:spacing/>
        <w:ind/>
        <w:rPr/>
      </w:pPr>
      <w:r>
        <w:rPr>
          <w:rFonts w:ascii="Arial" w:hAnsi="Arial" w:eastAsia="Arial" w:cs="Arial"/>
          <w:highlight w:val="none"/>
        </w:rPr>
      </w:r>
      <w:r>
        <w:rPr>
          <w:rFonts w:ascii="Arial" w:hAnsi="Arial" w:eastAsia="Arial" w:cs="Arial"/>
          <w:highlight w:val="none"/>
        </w:rPr>
      </w:r>
      <w:r/>
    </w:p>
    <w:p w14:paraId="57C09068">
      <w:pPr>
        <w:pStyle w:val="834"/>
        <w:pBdr/>
        <w:spacing/>
        <w:ind/>
        <w:rPr>
          <w:rFonts w:ascii="Arial" w:hAnsi="Arial" w:cs="Arial"/>
        </w:rPr>
      </w:pPr>
      <w:r>
        <w:rPr>
          <w:rFonts w:ascii="Arial" w:hAnsi="Arial" w:eastAsia="Arial" w:cs="Arial"/>
          <w:highlight w:val="none"/>
        </w:rPr>
      </w:r>
      <w:r>
        <w:rPr>
          <w:rFonts w:ascii="Arial" w:hAnsi="Arial" w:eastAsia="Arial" w:cs="Arial"/>
          <w:highlight w:val="none"/>
        </w:rPr>
        <w:t xml:space="preserve">References</w:t>
      </w:r>
      <w:r>
        <w:rPr>
          <w:rFonts w:ascii="Arial" w:hAnsi="Arial" w:cs="Arial"/>
        </w:rPr>
      </w:r>
      <w:r>
        <w:rPr>
          <w:rFonts w:ascii="Arial" w:hAnsi="Arial" w:cs="Arial"/>
        </w:rPr>
      </w:r>
    </w:p>
    <w:p w14:paraId="002BD041">
      <w:pPr>
        <w:pBdr/>
        <w:spacing/>
        <w:ind/>
        <w:rPr/>
      </w:pPr>
      <w:r>
        <w:rPr>
          <w:rFonts w:ascii="Arial" w:hAnsi="Arial" w:eastAsia="Arial" w:cs="Arial"/>
          <w:highlight w:val="none"/>
        </w:rPr>
      </w:r>
      <w:r>
        <w:rPr>
          <w:rFonts w:ascii="Times New Roman" w:hAnsi="Times New Roman" w:eastAsia="Times New Roman" w:cs="Times New Roman"/>
          <w:color w:val="000000"/>
          <w:sz w:val="24"/>
        </w:rPr>
        <w:t xml:space="preserve">Office of the Privacy Commissioner of Canada. (2022, October 5). </w:t>
      </w:r>
      <w:r>
        <w:rPr>
          <w:rFonts w:ascii="Times New Roman" w:hAnsi="Times New Roman" w:eastAsia="Times New Roman" w:cs="Times New Roman"/>
          <w:i/>
          <w:color w:val="000000"/>
          <w:sz w:val="24"/>
        </w:rPr>
        <w:t xml:space="preserve">Highlights from the Commissioner's 2021-2022 annual report for public servants</w:t>
      </w:r>
      <w:r>
        <w:rPr>
          <w:rFonts w:ascii="Times New Roman" w:hAnsi="Times New Roman" w:eastAsia="Times New Roman" w:cs="Times New Roman"/>
          <w:color w:val="000000"/>
          <w:sz w:val="24"/>
        </w:rPr>
        <w:t xml:space="preserve">. </w:t>
      </w:r>
      <w:hyperlink r:id="rId9" w:tooltip="https://www.priv.gc.ca/en/for-federal-institutions/privacy-act-bulletins/pab_20221005/" w:history="1">
        <w:r>
          <w:rPr>
            <w:rStyle w:val="878"/>
            <w:rFonts w:ascii="Times New Roman" w:hAnsi="Times New Roman" w:eastAsia="Times New Roman" w:cs="Times New Roman"/>
            <w:color w:val="0000ee"/>
            <w:sz w:val="24"/>
            <w:u w:val="single"/>
          </w:rPr>
          <w:t xml:space="preserve">https://www.priv.gc.ca/en/for-federal-institutions/privacy-act-bulletins/pab_20221005/</w:t>
        </w:r>
      </w:hyperlink>
      <w:r>
        <w:rPr>
          <w:rFonts w:ascii="Arial" w:hAnsi="Arial" w:eastAsia="Arial" w:cs="Arial"/>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6449F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32036963"/>
    <w:lvl w:ilvl="0">
      <w:isLgl w:val="false"/>
      <w:lvlJc w:val="left"/>
      <w:lvlText w:val="%1."/>
      <w:numFmt w:val="decimal"/>
      <w:pPr>
        <w:pBdr/>
        <w:spacing/>
        <w:ind w:hanging="360" w:left="1080"/>
      </w:pPr>
      <w:rPr>
        <w:rFonts w:hint="default"/>
        <w:b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nsid w:val="14ED7C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 w:type="paragraph" w:styleId="897" w:customStyle="1">
    <w:name w:val="Table Paragraph"/>
    <w:uiPriority w:val="1"/>
    <w:qFormat/>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109" w:beforeAutospacing="0" w:line="240" w:lineRule="auto"/>
      <w:ind w:right="0" w:firstLine="0" w:left="107"/>
      <w:contextualSpacing w:val="false"/>
      <w:jc w:val="left"/>
    </w:pPr>
    <w:rPr>
      <w:rFonts w:ascii="Calibri" w:hAnsi="Calibri" w:eastAsia="Calibri" w:cs="Calibri"/>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priv.gc.ca/en/for-federal-institutions/privacy-act-bulletins/pab_20221005/"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Riskiness Index File</dc:title>
  <dc:creator>Sam Alavi</dc:creator>
  <cp:revision>2</cp:revision>
  <dcterms:modified xsi:type="dcterms:W3CDTF">2026-09-30T00:17:40Z</dcterms:modified>
</cp:coreProperties>
</file>