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1"/>
        <w:pBdr/>
        <w:spacing/>
        <w:ind/>
        <w:rPr>
          <w:u w:val="none"/>
        </w:rPr>
      </w:pPr>
      <w:r>
        <w:rPr>
          <w:u w:val="single"/>
        </w:rPr>
        <w:t xml:space="preserve">Template 1: Riskiness index</w:t>
      </w:r>
      <w:r>
        <w:rPr>
          <w:u w:val="none"/>
        </w:rPr>
      </w:r>
    </w:p>
    <w:p>
      <w:pPr>
        <w:pStyle w:val="670"/>
        <w:pBdr/>
        <w:spacing/>
        <w:ind/>
        <w:rPr>
          <w:b/>
          <w:sz w:val="24"/>
        </w:rPr>
      </w:pPr>
      <w:r>
        <w:rPr>
          <w:b/>
          <w:sz w:val="24"/>
        </w:rPr>
      </w:r>
      <w:r>
        <w:rPr>
          <w:b/>
          <w:sz w:val="24"/>
        </w:rPr>
      </w:r>
    </w:p>
    <w:p>
      <w:pPr>
        <w:pStyle w:val="670"/>
        <w:pBdr/>
        <w:spacing w:before="55" w:line="276" w:lineRule="auto"/>
        <w:ind w:right="249" w:hanging="1" w:left="220"/>
        <w:rPr/>
      </w:pPr>
      <w:r>
        <w:t xml:space="preserve">The riskiness index is intended to act as a status check for the organization. It provides an overview of the risk exposures in terms of potential impact</w:t>
      </w:r>
      <w:r>
        <w:t xml:space="preserve"> of risk events on finances, infrastructure, reputation and marketplace of the organization. Completing the riskiness index will establish the risk profile of the organization and this will provide the starting point for the development of the risk agenda.</w:t>
      </w:r>
      <w:r/>
    </w:p>
    <w:p>
      <w:pPr>
        <w:pStyle w:val="670"/>
        <w:pBdr/>
        <w:spacing w:before="3"/>
        <w:ind/>
        <w:rPr>
          <w:sz w:val="25"/>
        </w:rPr>
      </w:pPr>
      <w:r>
        <w:rPr>
          <w:sz w:val="25"/>
        </w:rPr>
      </w:r>
      <w:r>
        <w:rPr>
          <w:sz w:val="25"/>
        </w:rPr>
      </w:r>
    </w:p>
    <w:p>
      <w:pPr>
        <w:pStyle w:val="670"/>
        <w:pBdr/>
        <w:spacing w:line="276" w:lineRule="auto"/>
        <w:ind w:right="494" w:hanging="1" w:left="221"/>
        <w:jc w:val="both"/>
        <w:rPr/>
      </w:pPr>
      <w:r>
        <w:t xml:space="preserve">Complete the riskiness ind</w:t>
      </w:r>
      <w:r>
        <w:t xml:space="preserve">ex and identify the score out of 20 for each of the four components and the higher the score, the greater the exposure of that component to risk. Completing the riskiness index will provide an indication of whether the greatest risk exposures exist to the:</w:t>
      </w:r>
      <w:r/>
    </w:p>
    <w:p>
      <w:pPr>
        <w:pStyle w:val="672"/>
        <w:numPr>
          <w:ilvl w:val="0"/>
          <w:numId w:val="1"/>
        </w:numPr>
        <w:pBdr/>
        <w:tabs>
          <w:tab w:val="left" w:leader="none" w:pos="1041"/>
          <w:tab w:val="left" w:leader="none" w:pos="1042"/>
        </w:tabs>
        <w:spacing w:after="0" w:before="0" w:line="269" w:lineRule="exact"/>
        <w:ind w:right="0" w:hanging="361" w:left="1041"/>
        <w:jc w:val="left"/>
        <w:rPr>
          <w:sz w:val="22"/>
        </w:rPr>
      </w:pPr>
      <w:r>
        <w:rPr>
          <w:position w:val="1"/>
          <w:sz w:val="22"/>
        </w:rPr>
        <w:t xml:space="preserve">finances of the</w:t>
      </w:r>
      <w:r>
        <w:rPr>
          <w:spacing w:val="-1"/>
          <w:position w:val="1"/>
          <w:sz w:val="22"/>
        </w:rPr>
        <w:t xml:space="preserve"> </w:t>
      </w:r>
      <w:r>
        <w:rPr>
          <w:position w:val="1"/>
          <w:sz w:val="22"/>
        </w:rPr>
        <w:t xml:space="preserve">organization;</w:t>
      </w:r>
      <w:r>
        <w:rPr>
          <w:sz w:val="22"/>
        </w:rPr>
      </w:r>
    </w:p>
    <w:p>
      <w:pPr>
        <w:pStyle w:val="672"/>
        <w:numPr>
          <w:ilvl w:val="0"/>
          <w:numId w:val="1"/>
        </w:numPr>
        <w:pBdr/>
        <w:tabs>
          <w:tab w:val="left" w:leader="none" w:pos="1041"/>
          <w:tab w:val="left" w:leader="none" w:pos="1043"/>
        </w:tabs>
        <w:spacing w:after="0" w:before="39" w:line="240" w:lineRule="auto"/>
        <w:ind w:right="0" w:hanging="361" w:left="1042"/>
        <w:jc w:val="left"/>
        <w:rPr>
          <w:sz w:val="22"/>
        </w:rPr>
      </w:pPr>
      <w:r>
        <w:rPr>
          <w:position w:val="1"/>
          <w:sz w:val="22"/>
        </w:rPr>
        <w:t xml:space="preserve">robustness of the</w:t>
      </w:r>
      <w:r>
        <w:rPr>
          <w:spacing w:val="-3"/>
          <w:position w:val="1"/>
          <w:sz w:val="22"/>
        </w:rPr>
        <w:t xml:space="preserve"> </w:t>
      </w:r>
      <w:r>
        <w:rPr>
          <w:position w:val="1"/>
          <w:sz w:val="22"/>
        </w:rPr>
        <w:t xml:space="preserve">infrastructure;</w:t>
      </w:r>
      <w:r>
        <w:rPr>
          <w:sz w:val="22"/>
        </w:rPr>
      </w:r>
    </w:p>
    <w:p>
      <w:pPr>
        <w:pStyle w:val="672"/>
        <w:numPr>
          <w:ilvl w:val="0"/>
          <w:numId w:val="1"/>
        </w:numPr>
        <w:pBdr/>
        <w:tabs>
          <w:tab w:val="left" w:leader="none" w:pos="1041"/>
          <w:tab w:val="left" w:leader="none" w:pos="1043"/>
        </w:tabs>
        <w:spacing w:after="0" w:before="38" w:line="240" w:lineRule="auto"/>
        <w:ind w:right="0" w:hanging="361" w:left="1042"/>
        <w:jc w:val="left"/>
        <w:rPr>
          <w:sz w:val="22"/>
        </w:rPr>
      </w:pPr>
      <w:r>
        <w:rPr>
          <w:position w:val="1"/>
          <w:sz w:val="22"/>
        </w:rPr>
        <w:t xml:space="preserve">reputation of the organization and the sector within which it operates;</w:t>
      </w:r>
      <w:r>
        <w:rPr>
          <w:spacing w:val="-8"/>
          <w:position w:val="1"/>
          <w:sz w:val="22"/>
        </w:rPr>
        <w:t xml:space="preserve"> </w:t>
      </w:r>
      <w:r>
        <w:rPr>
          <w:position w:val="1"/>
          <w:sz w:val="22"/>
        </w:rPr>
        <w:t xml:space="preserve">and/or</w:t>
      </w:r>
      <w:r>
        <w:rPr>
          <w:sz w:val="22"/>
        </w:rPr>
      </w:r>
    </w:p>
    <w:p>
      <w:pPr>
        <w:pStyle w:val="672"/>
        <w:numPr>
          <w:ilvl w:val="0"/>
          <w:numId w:val="1"/>
        </w:numPr>
        <w:pBdr/>
        <w:tabs>
          <w:tab w:val="left" w:leader="none" w:pos="1042"/>
          <w:tab w:val="left" w:leader="none" w:pos="1043"/>
        </w:tabs>
        <w:spacing w:after="0" w:before="40" w:line="240" w:lineRule="auto"/>
        <w:ind w:right="0" w:hanging="361" w:left="1042"/>
        <w:jc w:val="left"/>
        <w:rPr>
          <w:sz w:val="22"/>
        </w:rPr>
      </w:pPr>
      <w:r>
        <w:rPr>
          <w:position w:val="1"/>
          <w:sz w:val="22"/>
        </w:rPr>
        <w:t xml:space="preserve">nature of the marketplace in which it</w:t>
      </w:r>
      <w:r>
        <w:rPr>
          <w:spacing w:val="-3"/>
          <w:position w:val="1"/>
          <w:sz w:val="22"/>
        </w:rPr>
        <w:t xml:space="preserve"> </w:t>
      </w:r>
      <w:r>
        <w:rPr>
          <w:position w:val="1"/>
          <w:sz w:val="22"/>
        </w:rPr>
        <w:t xml:space="preserve">operates.</w:t>
      </w:r>
      <w:r>
        <w:rPr>
          <w:sz w:val="22"/>
        </w:rPr>
      </w:r>
    </w:p>
    <w:p>
      <w:pPr>
        <w:pStyle w:val="670"/>
        <w:pBdr/>
        <w:spacing/>
        <w:ind/>
        <w:rPr>
          <w:sz w:val="27"/>
        </w:rPr>
      </w:pPr>
      <w:r>
        <w:rPr>
          <w:sz w:val="27"/>
        </w:rPr>
      </w:r>
      <w:r>
        <w:rPr>
          <w:sz w:val="27"/>
        </w:rPr>
      </w:r>
    </w:p>
    <w:tbl>
      <w:tblPr>
        <w:tblInd w:w="11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17"/>
        <w:gridCol w:w="7370"/>
        <w:gridCol w:w="1054"/>
      </w:tblGrid>
      <w:tr>
        <w:trPr>
          <w:trHeight w:val="510"/>
        </w:trPr>
        <w:tc>
          <w:tcPr>
            <w:gridSpan w:val="3"/>
            <w:tcBorders/>
            <w:tcW w:w="9241" w:type="dxa"/>
          </w:tcPr>
          <w:p>
            <w:pPr>
              <w:pStyle w:val="673"/>
              <w:pBdr/>
              <w:spacing w:before="122"/>
              <w:ind w:right="2433" w:left="2450"/>
              <w:jc w:val="center"/>
              <w:rPr>
                <w:b/>
                <w:i/>
                <w:sz w:val="22"/>
              </w:rPr>
            </w:pPr>
            <w:r>
              <w:rPr>
                <w:b/>
                <w:i/>
                <w:sz w:val="22"/>
              </w:rPr>
              <w:t xml:space="preserve">Finances component of the riskiness index</w:t>
            </w:r>
            <w:r>
              <w:rPr>
                <w:b/>
                <w:i/>
                <w:sz w:val="22"/>
              </w:rPr>
            </w:r>
          </w:p>
        </w:tc>
      </w:tr>
      <w:tr>
        <w:trPr>
          <w:trHeight w:val="509"/>
        </w:trPr>
        <w:tc>
          <w:tcPr>
            <w:tcBorders/>
            <w:tcW w:w="817" w:type="dxa"/>
          </w:tcPr>
          <w:p>
            <w:pPr>
              <w:pStyle w:val="673"/>
              <w:pBdr/>
              <w:spacing w:before="121"/>
              <w:ind/>
              <w:rPr>
                <w:b/>
                <w:sz w:val="22"/>
              </w:rPr>
            </w:pPr>
            <w:r>
              <w:rPr>
                <w:b/>
                <w:sz w:val="22"/>
              </w:rPr>
              <w:t xml:space="preserve">Code</w:t>
            </w:r>
            <w:r>
              <w:rPr>
                <w:b/>
                <w:sz w:val="22"/>
              </w:rPr>
            </w:r>
          </w:p>
        </w:tc>
        <w:tc>
          <w:tcPr>
            <w:tcBorders/>
            <w:tcW w:w="7370" w:type="dxa"/>
          </w:tcPr>
          <w:p>
            <w:pPr>
              <w:pStyle w:val="673"/>
              <w:pBdr/>
              <w:spacing w:before="121"/>
              <w:ind/>
              <w:rPr>
                <w:b/>
                <w:sz w:val="22"/>
              </w:rPr>
            </w:pPr>
            <w:r>
              <w:rPr>
                <w:b/>
                <w:sz w:val="22"/>
              </w:rPr>
              <w:t xml:space="preserve">Description</w:t>
            </w:r>
            <w:r>
              <w:rPr>
                <w:b/>
                <w:sz w:val="22"/>
              </w:rPr>
            </w:r>
          </w:p>
        </w:tc>
        <w:tc>
          <w:tcPr>
            <w:tcBorders/>
            <w:tcW w:w="1054" w:type="dxa"/>
          </w:tcPr>
          <w:p>
            <w:pPr>
              <w:pStyle w:val="673"/>
              <w:pBdr/>
              <w:spacing w:before="121"/>
              <w:ind w:left="108"/>
              <w:rPr>
                <w:b/>
                <w:sz w:val="22"/>
              </w:rPr>
            </w:pPr>
            <w:r>
              <w:rPr>
                <w:b/>
                <w:sz w:val="22"/>
              </w:rPr>
              <w:t xml:space="preserve">Score</w:t>
            </w:r>
            <w:r>
              <w:rPr>
                <w:b/>
                <w:sz w:val="22"/>
              </w:rPr>
            </w:r>
          </w:p>
        </w:tc>
      </w:tr>
      <w:tr>
        <w:trPr>
          <w:trHeight w:val="418"/>
        </w:trPr>
        <w:tc>
          <w:tcPr>
            <w:tcBorders/>
            <w:tcW w:w="817" w:type="dxa"/>
          </w:tcPr>
          <w:p>
            <w:pPr>
              <w:pStyle w:val="673"/>
              <w:pBdr/>
              <w:spacing/>
              <w:ind/>
              <w:rPr>
                <w:sz w:val="22"/>
              </w:rPr>
            </w:pPr>
            <w:r>
              <w:rPr>
                <w:sz w:val="22"/>
              </w:rPr>
              <w:t xml:space="preserve">1.1</w:t>
            </w:r>
            <w:r>
              <w:rPr>
                <w:sz w:val="22"/>
              </w:rPr>
            </w:r>
          </w:p>
        </w:tc>
        <w:tc>
          <w:tcPr>
            <w:tcBorders/>
            <w:tcW w:w="7370" w:type="dxa"/>
          </w:tcPr>
          <w:p>
            <w:pPr>
              <w:pStyle w:val="673"/>
              <w:pBdr/>
              <w:spacing/>
              <w:ind w:left="108"/>
              <w:rPr>
                <w:sz w:val="22"/>
              </w:rPr>
            </w:pPr>
            <w:r>
              <w:rPr>
                <w:sz w:val="22"/>
              </w:rPr>
              <w:t xml:space="preserve">Lack of availability (or unacceptable cost) of adequate investment funds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9"/>
        </w:trPr>
        <w:tc>
          <w:tcPr>
            <w:tcBorders/>
            <w:tcW w:w="817" w:type="dxa"/>
          </w:tcPr>
          <w:p>
            <w:pPr>
              <w:pStyle w:val="673"/>
              <w:pBdr/>
              <w:spacing w:before="110"/>
              <w:ind/>
              <w:rPr>
                <w:sz w:val="22"/>
              </w:rPr>
            </w:pPr>
            <w:r>
              <w:rPr>
                <w:sz w:val="22"/>
              </w:rPr>
              <w:t xml:space="preserve">1.2</w:t>
            </w:r>
            <w:r>
              <w:rPr>
                <w:sz w:val="22"/>
              </w:rPr>
            </w:r>
          </w:p>
        </w:tc>
        <w:tc>
          <w:tcPr>
            <w:tcBorders/>
            <w:tcW w:w="7370" w:type="dxa"/>
          </w:tcPr>
          <w:p>
            <w:pPr>
              <w:pStyle w:val="673"/>
              <w:pBdr/>
              <w:spacing w:before="110"/>
              <w:ind w:left="108"/>
              <w:rPr>
                <w:sz w:val="22"/>
              </w:rPr>
            </w:pPr>
            <w:r>
              <w:rPr>
                <w:sz w:val="22"/>
              </w:rPr>
              <w:t xml:space="preserve">Inadequate procedures for allocation of funds to available opportunities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8"/>
        </w:trPr>
        <w:tc>
          <w:tcPr>
            <w:tcBorders/>
            <w:tcW w:w="817" w:type="dxa"/>
          </w:tcPr>
          <w:p>
            <w:pPr>
              <w:pStyle w:val="673"/>
              <w:pBdr/>
              <w:spacing/>
              <w:ind/>
              <w:rPr>
                <w:sz w:val="22"/>
              </w:rPr>
            </w:pPr>
            <w:r>
              <w:rPr>
                <w:sz w:val="22"/>
              </w:rPr>
              <w:t xml:space="preserve">1.3</w:t>
            </w:r>
            <w:r>
              <w:rPr>
                <w:sz w:val="22"/>
              </w:rPr>
            </w:r>
          </w:p>
        </w:tc>
        <w:tc>
          <w:tcPr>
            <w:tcBorders/>
            <w:tcW w:w="7370" w:type="dxa"/>
          </w:tcPr>
          <w:p>
            <w:pPr>
              <w:pStyle w:val="673"/>
              <w:pBdr/>
              <w:spacing/>
              <w:ind w:left="108"/>
              <w:rPr>
                <w:sz w:val="22"/>
              </w:rPr>
            </w:pPr>
            <w:r>
              <w:rPr>
                <w:sz w:val="22"/>
              </w:rPr>
              <w:t xml:space="preserve">Poor internal financial controls to prevent fraud and control credit risks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8"/>
        </w:trPr>
        <w:tc>
          <w:tcPr>
            <w:tcBorders/>
            <w:tcW w:w="817" w:type="dxa"/>
          </w:tcPr>
          <w:p>
            <w:pPr>
              <w:pStyle w:val="673"/>
              <w:pBdr/>
              <w:spacing/>
              <w:ind/>
              <w:rPr>
                <w:sz w:val="22"/>
              </w:rPr>
            </w:pPr>
            <w:r>
              <w:rPr>
                <w:sz w:val="22"/>
              </w:rPr>
              <w:t xml:space="preserve">1.4</w:t>
            </w:r>
            <w:r>
              <w:rPr>
                <w:sz w:val="22"/>
              </w:rPr>
            </w:r>
          </w:p>
        </w:tc>
        <w:tc>
          <w:tcPr>
            <w:tcBorders/>
            <w:tcW w:w="7370" w:type="dxa"/>
          </w:tcPr>
          <w:p>
            <w:pPr>
              <w:pStyle w:val="673"/>
              <w:pBdr/>
              <w:spacing/>
              <w:ind w:left="108"/>
              <w:rPr>
                <w:sz w:val="22"/>
              </w:rPr>
            </w:pPr>
            <w:r>
              <w:rPr>
                <w:sz w:val="22"/>
              </w:rPr>
              <w:t xml:space="preserve">Insufficient reserves for existing and historical liabilities (including pensions)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510"/>
        </w:trPr>
        <w:tc>
          <w:tcPr>
            <w:tcBorders/>
            <w:tcW w:w="817" w:type="dxa"/>
          </w:tcPr>
          <w:p>
            <w:pPr>
              <w:pStyle w:val="673"/>
              <w:pBdr/>
              <w:spacing w:before="0"/>
              <w:ind w:left="0"/>
              <w:rPr>
                <w:rFonts w:ascii="Times New Roman"/>
                <w:sz w:val="20"/>
              </w:rPr>
            </w:pPr>
            <w:r>
              <w:rPr>
                <w:rFonts w:ascii="Times New Roman"/>
                <w:sz w:val="20"/>
              </w:rPr>
            </w:r>
            <w:r>
              <w:rPr>
                <w:rFonts w:ascii="Times New Roman"/>
                <w:sz w:val="20"/>
              </w:rPr>
            </w:r>
          </w:p>
        </w:tc>
        <w:tc>
          <w:tcPr>
            <w:tcBorders/>
            <w:tcW w:w="7370" w:type="dxa"/>
          </w:tcPr>
          <w:p>
            <w:pPr>
              <w:pStyle w:val="673"/>
              <w:pBdr/>
              <w:spacing w:before="122"/>
              <w:ind/>
              <w:rPr>
                <w:b/>
                <w:sz w:val="22"/>
              </w:rPr>
            </w:pPr>
            <w:r>
              <w:rPr>
                <w:b/>
                <w:sz w:val="22"/>
              </w:rPr>
              <w:t xml:space="preserve">TOTAL for finances component</w:t>
            </w:r>
            <w:r>
              <w:rPr>
                <w:b/>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509"/>
        </w:trPr>
        <w:tc>
          <w:tcPr>
            <w:gridSpan w:val="3"/>
            <w:tcBorders/>
            <w:tcW w:w="9241" w:type="dxa"/>
          </w:tcPr>
          <w:p>
            <w:pPr>
              <w:pStyle w:val="673"/>
              <w:pBdr/>
              <w:spacing w:before="121"/>
              <w:ind w:right="2441" w:left="2450"/>
              <w:jc w:val="center"/>
              <w:rPr>
                <w:b/>
                <w:i/>
                <w:sz w:val="22"/>
              </w:rPr>
            </w:pPr>
            <w:r>
              <w:rPr>
                <w:b/>
                <w:i/>
                <w:sz w:val="22"/>
              </w:rPr>
              <w:t xml:space="preserve">Infrastructure component of the riskiness index</w:t>
            </w:r>
            <w:r>
              <w:rPr>
                <w:b/>
                <w:i/>
                <w:sz w:val="22"/>
              </w:rPr>
            </w:r>
          </w:p>
        </w:tc>
      </w:tr>
      <w:tr>
        <w:trPr>
          <w:trHeight w:val="509"/>
        </w:trPr>
        <w:tc>
          <w:tcPr>
            <w:tcBorders/>
            <w:tcW w:w="817" w:type="dxa"/>
          </w:tcPr>
          <w:p>
            <w:pPr>
              <w:pStyle w:val="673"/>
              <w:pBdr/>
              <w:spacing w:before="121"/>
              <w:ind/>
              <w:rPr>
                <w:b/>
                <w:sz w:val="22"/>
              </w:rPr>
            </w:pPr>
            <w:r>
              <w:rPr>
                <w:b/>
                <w:sz w:val="22"/>
              </w:rPr>
              <w:t xml:space="preserve">Code</w:t>
            </w:r>
            <w:r>
              <w:rPr>
                <w:b/>
                <w:sz w:val="22"/>
              </w:rPr>
            </w:r>
          </w:p>
        </w:tc>
        <w:tc>
          <w:tcPr>
            <w:tcBorders/>
            <w:tcW w:w="7370" w:type="dxa"/>
          </w:tcPr>
          <w:p>
            <w:pPr>
              <w:pStyle w:val="673"/>
              <w:pBdr/>
              <w:spacing w:before="121"/>
              <w:ind/>
              <w:rPr>
                <w:b/>
                <w:sz w:val="22"/>
              </w:rPr>
            </w:pPr>
            <w:r>
              <w:rPr>
                <w:b/>
                <w:sz w:val="22"/>
              </w:rPr>
              <w:t xml:space="preserve">Description</w:t>
            </w:r>
            <w:r>
              <w:rPr>
                <w:b/>
                <w:sz w:val="22"/>
              </w:rPr>
            </w:r>
          </w:p>
        </w:tc>
        <w:tc>
          <w:tcPr>
            <w:tcBorders/>
            <w:tcW w:w="1054" w:type="dxa"/>
          </w:tcPr>
          <w:p>
            <w:pPr>
              <w:pStyle w:val="673"/>
              <w:pBdr/>
              <w:spacing w:before="121"/>
              <w:ind w:left="108"/>
              <w:rPr>
                <w:b/>
                <w:sz w:val="22"/>
              </w:rPr>
            </w:pPr>
            <w:r>
              <w:rPr>
                <w:b/>
                <w:sz w:val="22"/>
              </w:rPr>
              <w:t xml:space="preserve">Score</w:t>
            </w:r>
            <w:r>
              <w:rPr>
                <w:b/>
                <w:sz w:val="22"/>
              </w:rPr>
            </w:r>
          </w:p>
        </w:tc>
      </w:tr>
      <w:tr>
        <w:trPr>
          <w:trHeight w:val="419"/>
        </w:trPr>
        <w:tc>
          <w:tcPr>
            <w:tcBorders/>
            <w:tcW w:w="817" w:type="dxa"/>
          </w:tcPr>
          <w:p>
            <w:pPr>
              <w:pStyle w:val="673"/>
              <w:pBdr/>
              <w:spacing w:before="110"/>
              <w:ind/>
              <w:rPr>
                <w:sz w:val="22"/>
              </w:rPr>
            </w:pPr>
            <w:r>
              <w:rPr>
                <w:sz w:val="22"/>
              </w:rPr>
              <w:t xml:space="preserve">2.1</w:t>
            </w:r>
            <w:r>
              <w:rPr>
                <w:sz w:val="22"/>
              </w:rPr>
            </w:r>
          </w:p>
        </w:tc>
        <w:tc>
          <w:tcPr>
            <w:tcBorders/>
            <w:tcW w:w="7370" w:type="dxa"/>
          </w:tcPr>
          <w:p>
            <w:pPr>
              <w:pStyle w:val="673"/>
              <w:pBdr/>
              <w:spacing w:before="110"/>
              <w:ind w:left="108"/>
              <w:rPr>
                <w:sz w:val="22"/>
              </w:rPr>
            </w:pPr>
            <w:r>
              <w:rPr>
                <w:sz w:val="22"/>
              </w:rPr>
              <w:t xml:space="preserve">Availability or cost of people skills, competencies and experience</w:t>
            </w:r>
            <w:r>
              <w:rPr>
                <w:sz w:val="22"/>
              </w:rPr>
            </w:r>
          </w:p>
        </w:tc>
        <w:tc>
          <w:tcPr>
            <w:tcBorders/>
            <w:tcW w:w="1054" w:type="dxa"/>
          </w:tcPr>
          <w:p>
            <w:pPr>
              <w:pStyle w:val="673"/>
              <w:pBdr/>
              <w:spacing w:before="0"/>
              <w:ind w:left="0"/>
              <w:rPr>
                <w:rFonts w:ascii="Times New Roman"/>
                <w:sz w:val="20"/>
              </w:rPr>
            </w:pPr>
            <w:r>
              <w:rPr>
                <w:rFonts w:ascii="Times New Roman"/>
                <w:sz w:val="20"/>
              </w:rPr>
              <w:t xml:space="preserve">4</w:t>
            </w:r>
            <w:r>
              <w:rPr>
                <w:rFonts w:ascii="Times New Roman"/>
                <w:sz w:val="20"/>
              </w:rPr>
            </w:r>
          </w:p>
        </w:tc>
      </w:tr>
      <w:tr>
        <w:trPr>
          <w:trHeight w:val="418"/>
        </w:trPr>
        <w:tc>
          <w:tcPr>
            <w:tcBorders/>
            <w:tcW w:w="817" w:type="dxa"/>
          </w:tcPr>
          <w:p>
            <w:pPr>
              <w:pStyle w:val="673"/>
              <w:pBdr/>
              <w:spacing/>
              <w:ind/>
              <w:rPr>
                <w:sz w:val="22"/>
              </w:rPr>
            </w:pPr>
            <w:r>
              <w:rPr>
                <w:sz w:val="22"/>
              </w:rPr>
              <w:t xml:space="preserve">2.2</w:t>
            </w:r>
            <w:r>
              <w:rPr>
                <w:sz w:val="22"/>
              </w:rPr>
            </w:r>
          </w:p>
        </w:tc>
        <w:tc>
          <w:tcPr>
            <w:tcBorders/>
            <w:tcW w:w="7370" w:type="dxa"/>
          </w:tcPr>
          <w:p>
            <w:pPr>
              <w:pStyle w:val="673"/>
              <w:pBdr/>
              <w:spacing/>
              <w:ind w:left="108"/>
              <w:rPr>
                <w:sz w:val="22"/>
              </w:rPr>
            </w:pPr>
            <w:r>
              <w:rPr>
                <w:sz w:val="22"/>
              </w:rPr>
              <w:t xml:space="preserve">Inadequate premises, plant and equipment to support operations</w:t>
            </w:r>
            <w:r>
              <w:rPr>
                <w:sz w:val="22"/>
              </w:rPr>
            </w:r>
          </w:p>
        </w:tc>
        <w:tc>
          <w:tcPr>
            <w:tcBorders/>
            <w:tcW w:w="1054" w:type="dxa"/>
          </w:tcPr>
          <w:p>
            <w:pPr>
              <w:pStyle w:val="673"/>
              <w:pBdr/>
              <w:spacing w:before="0"/>
              <w:ind w:left="0"/>
              <w:rPr>
                <w:rFonts w:ascii="Times New Roman"/>
                <w:sz w:val="20"/>
              </w:rPr>
            </w:pPr>
            <w:r>
              <w:rPr>
                <w:rFonts w:ascii="Times New Roman"/>
                <w:sz w:val="20"/>
              </w:rPr>
              <w:t xml:space="preserve">1</w:t>
            </w:r>
            <w:r>
              <w:rPr>
                <w:rFonts w:ascii="Times New Roman"/>
                <w:sz w:val="20"/>
              </w:rPr>
            </w:r>
          </w:p>
        </w:tc>
      </w:tr>
      <w:tr>
        <w:trPr>
          <w:trHeight w:val="419"/>
        </w:trPr>
        <w:tc>
          <w:tcPr>
            <w:tcBorders/>
            <w:tcW w:w="817" w:type="dxa"/>
          </w:tcPr>
          <w:p>
            <w:pPr>
              <w:pStyle w:val="673"/>
              <w:pBdr/>
              <w:spacing w:before="110"/>
              <w:ind/>
              <w:rPr>
                <w:sz w:val="22"/>
              </w:rPr>
            </w:pPr>
            <w:r>
              <w:rPr>
                <w:sz w:val="22"/>
              </w:rPr>
              <w:t xml:space="preserve">2.3</w:t>
            </w:r>
            <w:r>
              <w:rPr>
                <w:sz w:val="22"/>
              </w:rPr>
            </w:r>
          </w:p>
        </w:tc>
        <w:tc>
          <w:tcPr>
            <w:tcBorders/>
            <w:tcW w:w="7370" w:type="dxa"/>
          </w:tcPr>
          <w:p>
            <w:pPr>
              <w:pStyle w:val="673"/>
              <w:pBdr/>
              <w:spacing w:before="110"/>
              <w:ind w:left="108"/>
              <w:rPr>
                <w:sz w:val="22"/>
              </w:rPr>
            </w:pPr>
            <w:r>
              <w:rPr>
                <w:sz w:val="22"/>
              </w:rPr>
              <w:t xml:space="preserve">Processes, including IT infrastructure, have insufficient resilience</w:t>
            </w:r>
            <w:r>
              <w:rPr>
                <w:sz w:val="22"/>
              </w:rPr>
            </w:r>
          </w:p>
        </w:tc>
        <w:tc>
          <w:tcPr>
            <w:tcBorders/>
            <w:tcW w:w="1054" w:type="dxa"/>
          </w:tcPr>
          <w:p>
            <w:pPr>
              <w:pStyle w:val="673"/>
              <w:pBdr/>
              <w:spacing w:before="0"/>
              <w:ind w:left="0"/>
              <w:rPr>
                <w:rFonts w:ascii="Times New Roman"/>
                <w:sz w:val="20"/>
              </w:rPr>
            </w:pPr>
            <w:r>
              <w:rPr>
                <w:rFonts w:ascii="Times New Roman"/>
                <w:sz w:val="20"/>
              </w:rPr>
              <w:t xml:space="preserve">5</w:t>
            </w:r>
            <w:r>
              <w:rPr>
                <w:rFonts w:ascii="Times New Roman"/>
                <w:sz w:val="20"/>
              </w:rPr>
            </w:r>
          </w:p>
        </w:tc>
      </w:tr>
      <w:tr>
        <w:trPr>
          <w:trHeight w:val="418"/>
        </w:trPr>
        <w:tc>
          <w:tcPr>
            <w:tcBorders/>
            <w:tcW w:w="817" w:type="dxa"/>
          </w:tcPr>
          <w:p>
            <w:pPr>
              <w:pStyle w:val="673"/>
              <w:pBdr/>
              <w:spacing/>
              <w:ind/>
              <w:rPr>
                <w:sz w:val="22"/>
              </w:rPr>
            </w:pPr>
            <w:r>
              <w:rPr>
                <w:sz w:val="22"/>
              </w:rPr>
              <w:t xml:space="preserve">2.4</w:t>
            </w:r>
            <w:r>
              <w:rPr>
                <w:sz w:val="22"/>
              </w:rPr>
            </w:r>
          </w:p>
        </w:tc>
        <w:tc>
          <w:tcPr>
            <w:tcBorders/>
            <w:tcW w:w="7370" w:type="dxa"/>
          </w:tcPr>
          <w:p>
            <w:pPr>
              <w:pStyle w:val="673"/>
              <w:pBdr/>
              <w:spacing/>
              <w:ind w:left="108"/>
              <w:rPr>
                <w:sz w:val="22"/>
              </w:rPr>
            </w:pPr>
            <w:r>
              <w:rPr>
                <w:sz w:val="22"/>
              </w:rPr>
              <w:t xml:space="preserve">Product availability inadequate, including supplier unreliability</w:t>
            </w:r>
            <w:r>
              <w:rPr>
                <w:sz w:val="22"/>
              </w:rPr>
            </w:r>
          </w:p>
        </w:tc>
        <w:tc>
          <w:tcPr>
            <w:tcBorders/>
            <w:tcW w:w="1054" w:type="dxa"/>
          </w:tcPr>
          <w:p>
            <w:pPr>
              <w:pStyle w:val="673"/>
              <w:pBdr/>
              <w:spacing w:before="0"/>
              <w:ind w:left="0"/>
              <w:rPr>
                <w:rFonts w:ascii="Times New Roman"/>
                <w:sz w:val="20"/>
              </w:rPr>
            </w:pPr>
            <w:r>
              <w:rPr>
                <w:rFonts w:ascii="Times New Roman"/>
                <w:sz w:val="20"/>
              </w:rPr>
              <w:t xml:space="preserve">3</w:t>
            </w:r>
            <w:r>
              <w:rPr>
                <w:rFonts w:ascii="Times New Roman"/>
                <w:sz w:val="20"/>
              </w:rPr>
            </w:r>
          </w:p>
        </w:tc>
      </w:tr>
      <w:tr>
        <w:trPr>
          <w:trHeight w:val="509"/>
        </w:trPr>
        <w:tc>
          <w:tcPr>
            <w:tcBorders/>
            <w:tcW w:w="817" w:type="dxa"/>
          </w:tcPr>
          <w:p>
            <w:pPr>
              <w:pStyle w:val="673"/>
              <w:pBdr/>
              <w:spacing w:before="0"/>
              <w:ind w:left="0"/>
              <w:rPr>
                <w:rFonts w:ascii="Times New Roman"/>
                <w:sz w:val="20"/>
              </w:rPr>
            </w:pPr>
            <w:r>
              <w:rPr>
                <w:rFonts w:ascii="Times New Roman"/>
                <w:sz w:val="20"/>
              </w:rPr>
            </w:r>
            <w:r>
              <w:rPr>
                <w:rFonts w:ascii="Times New Roman"/>
                <w:sz w:val="20"/>
              </w:rPr>
            </w:r>
          </w:p>
        </w:tc>
        <w:tc>
          <w:tcPr>
            <w:tcBorders/>
            <w:tcW w:w="7370" w:type="dxa"/>
          </w:tcPr>
          <w:p>
            <w:pPr>
              <w:pStyle w:val="673"/>
              <w:pBdr/>
              <w:spacing w:before="121"/>
              <w:ind/>
              <w:rPr>
                <w:b/>
                <w:sz w:val="22"/>
              </w:rPr>
            </w:pPr>
            <w:r>
              <w:rPr>
                <w:b/>
                <w:sz w:val="22"/>
              </w:rPr>
              <w:t xml:space="preserve">TOTAL for infrastructure component</w:t>
            </w:r>
            <w:r>
              <w:rPr>
                <w:b/>
                <w:sz w:val="22"/>
              </w:rPr>
            </w:r>
          </w:p>
        </w:tc>
        <w:tc>
          <w:tcPr>
            <w:tcBorders/>
            <w:tcW w:w="1054" w:type="dxa"/>
          </w:tcPr>
          <w:p>
            <w:pPr>
              <w:pStyle w:val="673"/>
              <w:pBdr/>
              <w:spacing w:before="0"/>
              <w:ind w:left="0"/>
              <w:rPr>
                <w:rFonts w:ascii="Times New Roman"/>
                <w:sz w:val="20"/>
              </w:rPr>
            </w:pPr>
            <w:r>
              <w:rPr>
                <w:rFonts w:ascii="Times New Roman"/>
                <w:sz w:val="20"/>
              </w:rPr>
              <w:t xml:space="preserve">13</w:t>
            </w:r>
            <w:r>
              <w:rPr>
                <w:rFonts w:ascii="Times New Roman"/>
                <w:sz w:val="20"/>
              </w:rPr>
            </w:r>
          </w:p>
        </w:tc>
      </w:tr>
      <w:tr>
        <w:trPr>
          <w:trHeight w:val="510"/>
        </w:trPr>
        <w:tc>
          <w:tcPr>
            <w:gridSpan w:val="3"/>
            <w:tcBorders/>
            <w:tcW w:w="9241" w:type="dxa"/>
          </w:tcPr>
          <w:p>
            <w:pPr>
              <w:pStyle w:val="673"/>
              <w:pBdr/>
              <w:spacing w:before="122"/>
              <w:ind w:right="2439" w:left="2450"/>
              <w:jc w:val="center"/>
              <w:rPr>
                <w:b/>
                <w:i/>
                <w:sz w:val="22"/>
              </w:rPr>
            </w:pPr>
            <w:r>
              <w:rPr>
                <w:b/>
                <w:i/>
                <w:sz w:val="22"/>
              </w:rPr>
              <w:t xml:space="preserve">Reputation component of the riskiness index</w:t>
            </w:r>
            <w:r>
              <w:rPr>
                <w:b/>
                <w:i/>
                <w:sz w:val="22"/>
              </w:rPr>
            </w:r>
          </w:p>
        </w:tc>
      </w:tr>
      <w:tr>
        <w:trPr>
          <w:trHeight w:val="509"/>
        </w:trPr>
        <w:tc>
          <w:tcPr>
            <w:tcBorders/>
            <w:tcW w:w="817" w:type="dxa"/>
          </w:tcPr>
          <w:p>
            <w:pPr>
              <w:pStyle w:val="673"/>
              <w:pBdr/>
              <w:spacing w:before="121"/>
              <w:ind/>
              <w:rPr>
                <w:b/>
                <w:sz w:val="22"/>
              </w:rPr>
            </w:pPr>
            <w:r>
              <w:rPr>
                <w:b/>
                <w:sz w:val="22"/>
              </w:rPr>
              <w:t xml:space="preserve">Code</w:t>
            </w:r>
            <w:r>
              <w:rPr>
                <w:b/>
                <w:sz w:val="22"/>
              </w:rPr>
            </w:r>
          </w:p>
        </w:tc>
        <w:tc>
          <w:tcPr>
            <w:tcBorders/>
            <w:tcW w:w="7370" w:type="dxa"/>
          </w:tcPr>
          <w:p>
            <w:pPr>
              <w:pStyle w:val="673"/>
              <w:pBdr/>
              <w:spacing w:before="121"/>
              <w:ind/>
              <w:rPr>
                <w:b/>
                <w:sz w:val="22"/>
              </w:rPr>
            </w:pPr>
            <w:r>
              <w:rPr>
                <w:b/>
                <w:sz w:val="22"/>
              </w:rPr>
              <w:t xml:space="preserve">Description</w:t>
            </w:r>
            <w:r>
              <w:rPr>
                <w:b/>
                <w:sz w:val="22"/>
              </w:rPr>
            </w:r>
          </w:p>
        </w:tc>
        <w:tc>
          <w:tcPr>
            <w:tcBorders/>
            <w:tcW w:w="1054" w:type="dxa"/>
          </w:tcPr>
          <w:p>
            <w:pPr>
              <w:pStyle w:val="673"/>
              <w:pBdr/>
              <w:spacing w:before="121"/>
              <w:ind w:left="108"/>
              <w:rPr>
                <w:b/>
                <w:sz w:val="22"/>
              </w:rPr>
            </w:pPr>
            <w:r>
              <w:rPr>
                <w:b/>
                <w:sz w:val="22"/>
              </w:rPr>
              <w:t xml:space="preserve">Score</w:t>
            </w:r>
            <w:r>
              <w:rPr>
                <w:b/>
                <w:sz w:val="22"/>
              </w:rPr>
            </w:r>
          </w:p>
        </w:tc>
      </w:tr>
      <w:tr>
        <w:trPr>
          <w:trHeight w:val="418"/>
        </w:trPr>
        <w:tc>
          <w:tcPr>
            <w:tcBorders/>
            <w:tcW w:w="817" w:type="dxa"/>
          </w:tcPr>
          <w:p>
            <w:pPr>
              <w:pStyle w:val="673"/>
              <w:pBdr/>
              <w:spacing/>
              <w:ind/>
              <w:rPr>
                <w:sz w:val="22"/>
              </w:rPr>
            </w:pPr>
            <w:r>
              <w:rPr>
                <w:sz w:val="22"/>
              </w:rPr>
              <w:t xml:space="preserve">3.1</w:t>
            </w:r>
            <w:r>
              <w:rPr>
                <w:sz w:val="22"/>
              </w:rPr>
            </w:r>
          </w:p>
        </w:tc>
        <w:tc>
          <w:tcPr>
            <w:tcBorders/>
            <w:tcW w:w="7370" w:type="dxa"/>
          </w:tcPr>
          <w:p>
            <w:pPr>
              <w:pStyle w:val="673"/>
              <w:pBdr/>
              <w:spacing/>
              <w:ind w:left="108"/>
              <w:rPr>
                <w:sz w:val="22"/>
              </w:rPr>
            </w:pPr>
            <w:r>
              <w:rPr>
                <w:sz w:val="22"/>
              </w:rPr>
              <w:t xml:space="preserve">Poor public perception of the industry and/or organization brands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9"/>
        </w:trPr>
        <w:tc>
          <w:tcPr>
            <w:tcBorders/>
            <w:tcW w:w="817" w:type="dxa"/>
          </w:tcPr>
          <w:p>
            <w:pPr>
              <w:pStyle w:val="673"/>
              <w:pBdr/>
              <w:spacing w:before="110"/>
              <w:ind/>
              <w:rPr>
                <w:sz w:val="22"/>
              </w:rPr>
            </w:pPr>
            <w:r>
              <w:rPr>
                <w:sz w:val="22"/>
              </w:rPr>
              <w:t xml:space="preserve">3.2</w:t>
            </w:r>
            <w:r>
              <w:rPr>
                <w:sz w:val="22"/>
              </w:rPr>
            </w:r>
          </w:p>
        </w:tc>
        <w:tc>
          <w:tcPr>
            <w:tcBorders/>
            <w:tcW w:w="7370" w:type="dxa"/>
          </w:tcPr>
          <w:p>
            <w:pPr>
              <w:pStyle w:val="673"/>
              <w:pBdr/>
              <w:spacing w:before="110"/>
              <w:ind w:left="108"/>
              <w:rPr>
                <w:sz w:val="22"/>
              </w:rPr>
            </w:pPr>
            <w:r>
              <w:rPr>
                <w:sz w:val="22"/>
              </w:rPr>
              <w:t xml:space="preserve">Insufficient attention to ethics and corporate social responsibility</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8"/>
        </w:trPr>
        <w:tc>
          <w:tcPr>
            <w:tcBorders/>
            <w:tcW w:w="817" w:type="dxa"/>
          </w:tcPr>
          <w:p>
            <w:pPr>
              <w:pStyle w:val="673"/>
              <w:pBdr/>
              <w:spacing/>
              <w:ind/>
              <w:rPr>
                <w:sz w:val="22"/>
              </w:rPr>
            </w:pPr>
            <w:r>
              <w:rPr>
                <w:sz w:val="22"/>
              </w:rPr>
              <w:t xml:space="preserve">3.3</w:t>
            </w:r>
            <w:r>
              <w:rPr>
                <w:sz w:val="22"/>
              </w:rPr>
            </w:r>
          </w:p>
        </w:tc>
        <w:tc>
          <w:tcPr>
            <w:tcBorders/>
            <w:tcW w:w="7370" w:type="dxa"/>
          </w:tcPr>
          <w:p>
            <w:pPr>
              <w:pStyle w:val="673"/>
              <w:pBdr/>
              <w:spacing/>
              <w:ind w:left="108"/>
              <w:rPr>
                <w:sz w:val="22"/>
              </w:rPr>
            </w:pPr>
            <w:r>
              <w:rPr>
                <w:sz w:val="22"/>
              </w:rPr>
              <w:t xml:space="preserve">High regulator involvement and compliance expectations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bl>
    <w:p>
      <w:pPr>
        <w:pBdr/>
        <w:spacing w:after="0"/>
        <w:ind/>
        <w:rPr>
          <w:rFonts w:ascii="Times New Roman"/>
          <w:sz w:val="20"/>
        </w:rPr>
        <w:sectPr>
          <w:footnotePr/>
          <w:endnotePr/>
          <w:type w:val="continuous"/>
          <w:pgSz w:h="16840" w:orient="portrait" w:w="11900"/>
          <w:pgMar w:top="1400" w:right="1200" w:bottom="280" w:left="1220" w:header="709" w:footer="709" w:gutter="0"/>
          <w:cols w:num="1" w:sep="0" w:space="1701" w:equalWidth="1"/>
        </w:sectPr>
      </w:pPr>
      <w:r>
        <w:rPr>
          <w:rFonts w:ascii="Times New Roman"/>
          <w:sz w:val="20"/>
        </w:rPr>
      </w:r>
      <w:r>
        <w:rPr>
          <w:rFonts w:ascii="Times New Roman"/>
          <w:sz w:val="20"/>
        </w:rPr>
      </w:r>
    </w:p>
    <w:tbl>
      <w:tblPr>
        <w:tblInd w:w="11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17"/>
        <w:gridCol w:w="7370"/>
        <w:gridCol w:w="1054"/>
      </w:tblGrid>
      <w:tr>
        <w:trPr>
          <w:trHeight w:val="418"/>
        </w:trPr>
        <w:tc>
          <w:tcPr>
            <w:tcBorders/>
            <w:tcW w:w="817" w:type="dxa"/>
          </w:tcPr>
          <w:p>
            <w:pPr>
              <w:pStyle w:val="673"/>
              <w:pBdr/>
              <w:spacing/>
              <w:ind/>
              <w:rPr>
                <w:sz w:val="22"/>
              </w:rPr>
            </w:pPr>
            <w:r>
              <w:rPr>
                <w:sz w:val="22"/>
              </w:rPr>
              <w:t xml:space="preserve">3.4</w:t>
            </w:r>
            <w:r>
              <w:rPr>
                <w:sz w:val="22"/>
              </w:rPr>
            </w:r>
          </w:p>
        </w:tc>
        <w:tc>
          <w:tcPr>
            <w:tcBorders/>
            <w:tcW w:w="7370" w:type="dxa"/>
          </w:tcPr>
          <w:p>
            <w:pPr>
              <w:pStyle w:val="673"/>
              <w:pBdr/>
              <w:spacing/>
              <w:ind w:left="108"/>
              <w:rPr>
                <w:sz w:val="22"/>
              </w:rPr>
            </w:pPr>
            <w:r>
              <w:rPr>
                <w:sz w:val="22"/>
              </w:rPr>
              <w:t xml:space="preserve">Concerns over product quality and/or after sales service</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510"/>
        </w:trPr>
        <w:tc>
          <w:tcPr>
            <w:tcBorders/>
            <w:tcW w:w="817" w:type="dxa"/>
          </w:tcPr>
          <w:p>
            <w:pPr>
              <w:pStyle w:val="673"/>
              <w:pBdr/>
              <w:spacing w:before="0"/>
              <w:ind w:left="0"/>
              <w:rPr>
                <w:rFonts w:ascii="Times New Roman"/>
                <w:sz w:val="20"/>
              </w:rPr>
            </w:pPr>
            <w:r>
              <w:rPr>
                <w:rFonts w:ascii="Times New Roman"/>
                <w:sz w:val="20"/>
              </w:rPr>
            </w:r>
            <w:r>
              <w:rPr>
                <w:rFonts w:ascii="Times New Roman"/>
                <w:sz w:val="20"/>
              </w:rPr>
            </w:r>
          </w:p>
        </w:tc>
        <w:tc>
          <w:tcPr>
            <w:tcBorders/>
            <w:tcW w:w="7370" w:type="dxa"/>
          </w:tcPr>
          <w:p>
            <w:pPr>
              <w:pStyle w:val="673"/>
              <w:pBdr/>
              <w:spacing w:before="122"/>
              <w:ind/>
              <w:rPr>
                <w:b/>
                <w:sz w:val="22"/>
              </w:rPr>
            </w:pPr>
            <w:r>
              <w:rPr>
                <w:b/>
                <w:sz w:val="22"/>
              </w:rPr>
              <w:t xml:space="preserve">TOTAL for reputation component</w:t>
            </w:r>
            <w:r>
              <w:rPr>
                <w:b/>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509"/>
        </w:trPr>
        <w:tc>
          <w:tcPr>
            <w:gridSpan w:val="3"/>
            <w:tcBorders/>
            <w:tcW w:w="9241" w:type="dxa"/>
          </w:tcPr>
          <w:p>
            <w:pPr>
              <w:pStyle w:val="673"/>
              <w:pBdr/>
              <w:spacing w:before="121"/>
              <w:ind w:right="2439" w:left="2450"/>
              <w:jc w:val="center"/>
              <w:rPr>
                <w:b/>
                <w:i/>
                <w:sz w:val="22"/>
              </w:rPr>
            </w:pPr>
            <w:r>
              <w:rPr>
                <w:b/>
                <w:i/>
                <w:sz w:val="22"/>
              </w:rPr>
              <w:t xml:space="preserve">Marketplace component of the riskiness index</w:t>
            </w:r>
            <w:r>
              <w:rPr>
                <w:b/>
                <w:i/>
                <w:sz w:val="22"/>
              </w:rPr>
            </w:r>
          </w:p>
        </w:tc>
      </w:tr>
      <w:tr>
        <w:trPr>
          <w:trHeight w:val="509"/>
        </w:trPr>
        <w:tc>
          <w:tcPr>
            <w:tcBorders/>
            <w:tcW w:w="817" w:type="dxa"/>
          </w:tcPr>
          <w:p>
            <w:pPr>
              <w:pStyle w:val="673"/>
              <w:pBdr/>
              <w:spacing w:before="121"/>
              <w:ind/>
              <w:rPr>
                <w:b/>
                <w:sz w:val="22"/>
              </w:rPr>
            </w:pPr>
            <w:r>
              <w:rPr>
                <w:b/>
                <w:sz w:val="22"/>
              </w:rPr>
              <w:t xml:space="preserve">Code</w:t>
            </w:r>
            <w:r>
              <w:rPr>
                <w:b/>
                <w:sz w:val="22"/>
              </w:rPr>
            </w:r>
          </w:p>
        </w:tc>
        <w:tc>
          <w:tcPr>
            <w:tcBorders/>
            <w:tcW w:w="7370" w:type="dxa"/>
          </w:tcPr>
          <w:p>
            <w:pPr>
              <w:pStyle w:val="673"/>
              <w:pBdr/>
              <w:spacing w:before="121"/>
              <w:ind/>
              <w:rPr>
                <w:b/>
                <w:sz w:val="22"/>
              </w:rPr>
            </w:pPr>
            <w:r>
              <w:rPr>
                <w:b/>
                <w:sz w:val="22"/>
              </w:rPr>
              <w:t xml:space="preserve">Description</w:t>
            </w:r>
            <w:r>
              <w:rPr>
                <w:b/>
                <w:sz w:val="22"/>
              </w:rPr>
            </w:r>
          </w:p>
        </w:tc>
        <w:tc>
          <w:tcPr>
            <w:tcBorders/>
            <w:tcW w:w="1054" w:type="dxa"/>
          </w:tcPr>
          <w:p>
            <w:pPr>
              <w:pStyle w:val="673"/>
              <w:pBdr/>
              <w:spacing w:before="121"/>
              <w:ind w:left="108"/>
              <w:rPr>
                <w:b/>
                <w:sz w:val="22"/>
              </w:rPr>
            </w:pPr>
            <w:r>
              <w:rPr>
                <w:b/>
                <w:sz w:val="22"/>
              </w:rPr>
              <w:t xml:space="preserve">Score</w:t>
            </w:r>
            <w:r>
              <w:rPr>
                <w:b/>
                <w:sz w:val="22"/>
              </w:rPr>
            </w:r>
          </w:p>
        </w:tc>
      </w:tr>
      <w:tr>
        <w:trPr>
          <w:trHeight w:val="419"/>
        </w:trPr>
        <w:tc>
          <w:tcPr>
            <w:tcBorders/>
            <w:tcW w:w="817" w:type="dxa"/>
          </w:tcPr>
          <w:p>
            <w:pPr>
              <w:pStyle w:val="673"/>
              <w:pBdr/>
              <w:spacing w:before="110"/>
              <w:ind/>
              <w:rPr>
                <w:sz w:val="22"/>
              </w:rPr>
            </w:pPr>
            <w:r>
              <w:rPr>
                <w:sz w:val="22"/>
              </w:rPr>
              <w:t xml:space="preserve">4.1</w:t>
            </w:r>
            <w:r>
              <w:rPr>
                <w:sz w:val="22"/>
              </w:rPr>
            </w:r>
          </w:p>
        </w:tc>
        <w:tc>
          <w:tcPr>
            <w:tcBorders/>
            <w:tcW w:w="7370" w:type="dxa"/>
          </w:tcPr>
          <w:p>
            <w:pPr>
              <w:pStyle w:val="673"/>
              <w:pBdr/>
              <w:spacing w:before="110"/>
              <w:ind w:left="108"/>
              <w:rPr>
                <w:sz w:val="22"/>
              </w:rPr>
            </w:pPr>
            <w:r>
              <w:rPr>
                <w:sz w:val="22"/>
              </w:rPr>
              <w:t xml:space="preserve">Insufficient revenue generation or inadequate return on investment</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8"/>
        </w:trPr>
        <w:tc>
          <w:tcPr>
            <w:tcBorders/>
            <w:tcW w:w="817" w:type="dxa"/>
          </w:tcPr>
          <w:p>
            <w:pPr>
              <w:pStyle w:val="673"/>
              <w:pBdr/>
              <w:spacing/>
              <w:ind/>
              <w:rPr>
                <w:sz w:val="22"/>
              </w:rPr>
            </w:pPr>
            <w:r>
              <w:rPr>
                <w:sz w:val="22"/>
              </w:rPr>
              <w:t xml:space="preserve">4.2</w:t>
            </w:r>
            <w:r>
              <w:rPr>
                <w:sz w:val="22"/>
              </w:rPr>
            </w:r>
          </w:p>
        </w:tc>
        <w:tc>
          <w:tcPr>
            <w:tcBorders/>
            <w:tcW w:w="7370" w:type="dxa"/>
          </w:tcPr>
          <w:p>
            <w:pPr>
              <w:pStyle w:val="673"/>
              <w:pBdr/>
              <w:spacing/>
              <w:ind w:left="108"/>
              <w:rPr>
                <w:sz w:val="22"/>
              </w:rPr>
            </w:pPr>
            <w:r>
              <w:rPr>
                <w:sz w:val="22"/>
              </w:rPr>
              <w:t xml:space="preserve">Competitive marketplace and/or rapidly changing product technology</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8"/>
        </w:trPr>
        <w:tc>
          <w:tcPr>
            <w:tcBorders/>
            <w:tcW w:w="817" w:type="dxa"/>
          </w:tcPr>
          <w:p>
            <w:pPr>
              <w:pStyle w:val="673"/>
              <w:pBdr/>
              <w:spacing/>
              <w:ind/>
              <w:rPr>
                <w:sz w:val="22"/>
              </w:rPr>
            </w:pPr>
            <w:r>
              <w:rPr>
                <w:sz w:val="22"/>
              </w:rPr>
              <w:t xml:space="preserve">4.3</w:t>
            </w:r>
            <w:r>
              <w:rPr>
                <w:sz w:val="22"/>
              </w:rPr>
            </w:r>
          </w:p>
        </w:tc>
        <w:tc>
          <w:tcPr>
            <w:tcBorders/>
            <w:tcW w:w="7370" w:type="dxa"/>
          </w:tcPr>
          <w:p>
            <w:pPr>
              <w:pStyle w:val="673"/>
              <w:pBdr/>
              <w:spacing/>
              <w:ind w:left="108"/>
              <w:rPr>
                <w:sz w:val="22"/>
              </w:rPr>
            </w:pPr>
            <w:r>
              <w:rPr>
                <w:sz w:val="22"/>
              </w:rPr>
              <w:t xml:space="preserve">Poor sovereign economic health and/or lack of economic or political stability</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419"/>
        </w:trPr>
        <w:tc>
          <w:tcPr>
            <w:tcBorders/>
            <w:tcW w:w="817" w:type="dxa"/>
          </w:tcPr>
          <w:p>
            <w:pPr>
              <w:pStyle w:val="673"/>
              <w:pBdr/>
              <w:spacing w:before="110"/>
              <w:ind/>
              <w:rPr>
                <w:sz w:val="22"/>
              </w:rPr>
            </w:pPr>
            <w:r>
              <w:rPr>
                <w:sz w:val="22"/>
              </w:rPr>
              <w:t xml:space="preserve">4.4</w:t>
            </w:r>
            <w:r>
              <w:rPr>
                <w:sz w:val="22"/>
              </w:rPr>
            </w:r>
          </w:p>
        </w:tc>
        <w:tc>
          <w:tcPr>
            <w:tcBorders/>
            <w:tcW w:w="7370" w:type="dxa"/>
          </w:tcPr>
          <w:p>
            <w:pPr>
              <w:pStyle w:val="673"/>
              <w:pBdr/>
              <w:spacing w:before="110"/>
              <w:ind w:left="108"/>
              <w:rPr>
                <w:sz w:val="22"/>
              </w:rPr>
            </w:pPr>
            <w:r>
              <w:rPr>
                <w:sz w:val="22"/>
              </w:rPr>
              <w:t xml:space="preserve">Complex supply chain and/or unpredictable raw materials costs</w:t>
            </w:r>
            <w:r>
              <w:rPr>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r>
        <w:trPr>
          <w:trHeight w:val="509"/>
        </w:trPr>
        <w:tc>
          <w:tcPr>
            <w:tcBorders/>
            <w:tcW w:w="817" w:type="dxa"/>
          </w:tcPr>
          <w:p>
            <w:pPr>
              <w:pStyle w:val="673"/>
              <w:pBdr/>
              <w:spacing w:before="0"/>
              <w:ind w:left="0"/>
              <w:rPr>
                <w:rFonts w:ascii="Times New Roman"/>
                <w:sz w:val="20"/>
              </w:rPr>
            </w:pPr>
            <w:r>
              <w:rPr>
                <w:rFonts w:ascii="Times New Roman"/>
                <w:sz w:val="20"/>
              </w:rPr>
            </w:r>
            <w:r>
              <w:rPr>
                <w:rFonts w:ascii="Times New Roman"/>
                <w:sz w:val="20"/>
              </w:rPr>
            </w:r>
          </w:p>
        </w:tc>
        <w:tc>
          <w:tcPr>
            <w:tcBorders/>
            <w:tcW w:w="7370" w:type="dxa"/>
          </w:tcPr>
          <w:p>
            <w:pPr>
              <w:pStyle w:val="673"/>
              <w:pBdr/>
              <w:spacing w:before="121"/>
              <w:ind/>
              <w:rPr>
                <w:b/>
                <w:sz w:val="22"/>
              </w:rPr>
            </w:pPr>
            <w:r>
              <w:rPr>
                <w:b/>
                <w:sz w:val="22"/>
              </w:rPr>
              <w:t xml:space="preserve">TOTAL for marketplace component</w:t>
            </w:r>
            <w:r>
              <w:rPr>
                <w:b/>
                <w:sz w:val="22"/>
              </w:rPr>
            </w:r>
          </w:p>
        </w:tc>
        <w:tc>
          <w:tcPr>
            <w:tcBorders/>
            <w:tcW w:w="1054" w:type="dxa"/>
          </w:tcPr>
          <w:p>
            <w:pPr>
              <w:pStyle w:val="673"/>
              <w:pBdr/>
              <w:spacing w:before="0"/>
              <w:ind w:left="0"/>
              <w:rPr>
                <w:rFonts w:ascii="Times New Roman"/>
                <w:sz w:val="20"/>
              </w:rPr>
            </w:pPr>
            <w:r>
              <w:rPr>
                <w:rFonts w:ascii="Times New Roman"/>
                <w:sz w:val="20"/>
              </w:rPr>
            </w:r>
            <w:r>
              <w:rPr>
                <w:rFonts w:ascii="Times New Roman"/>
                <w:sz w:val="20"/>
              </w:rPr>
            </w:r>
          </w:p>
        </w:tc>
      </w:tr>
    </w:tbl>
    <w:p>
      <w:pPr>
        <w:pStyle w:val="670"/>
        <w:pBdr/>
        <w:spacing w:before="0"/>
        <w:ind/>
        <w:rPr>
          <w:sz w:val="20"/>
        </w:rPr>
      </w:pPr>
      <w:r>
        <w:rPr>
          <w:sz w:val="20"/>
        </w:rPr>
      </w:r>
      <w:r>
        <w:rPr>
          <w:sz w:val="20"/>
        </w:rPr>
      </w:r>
    </w:p>
    <w:p>
      <w:pPr>
        <w:pStyle w:val="670"/>
        <w:pBdr/>
        <w:spacing w:before="9"/>
        <w:ind/>
        <w:rPr>
          <w:sz w:val="21"/>
        </w:rPr>
      </w:pPr>
      <w:r>
        <w:rPr>
          <w:sz w:val="21"/>
        </w:rPr>
      </w:r>
      <w:r>
        <w:rPr>
          <w:sz w:val="21"/>
        </w:rPr>
      </w:r>
    </w:p>
    <w:tbl>
      <w:tblPr>
        <w:tblInd w:w="117"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959"/>
        <w:gridCol w:w="3661"/>
        <w:gridCol w:w="875"/>
        <w:gridCol w:w="3748"/>
      </w:tblGrid>
      <w:tr>
        <w:trPr>
          <w:trHeight w:val="510"/>
        </w:trPr>
        <w:tc>
          <w:tcPr>
            <w:tcBorders/>
            <w:tcW w:w="959" w:type="dxa"/>
          </w:tcPr>
          <w:p>
            <w:pPr>
              <w:pStyle w:val="673"/>
              <w:pBdr/>
              <w:spacing w:before="123"/>
              <w:ind/>
              <w:rPr>
                <w:b/>
                <w:sz w:val="22"/>
              </w:rPr>
            </w:pPr>
            <w:r>
              <w:rPr>
                <w:b/>
                <w:sz w:val="22"/>
              </w:rPr>
              <w:t xml:space="preserve">Score</w:t>
            </w:r>
            <w:r>
              <w:rPr>
                <w:b/>
                <w:sz w:val="22"/>
              </w:rPr>
            </w:r>
          </w:p>
        </w:tc>
        <w:tc>
          <w:tcPr>
            <w:tcBorders/>
            <w:tcW w:w="3661" w:type="dxa"/>
          </w:tcPr>
          <w:p>
            <w:pPr>
              <w:pStyle w:val="673"/>
              <w:pBdr/>
              <w:spacing w:before="123"/>
              <w:ind/>
              <w:rPr>
                <w:b/>
                <w:sz w:val="22"/>
              </w:rPr>
            </w:pPr>
            <w:r>
              <w:rPr>
                <w:b/>
                <w:sz w:val="22"/>
              </w:rPr>
              <w:t xml:space="preserve">Potential impact</w:t>
            </w:r>
            <w:r>
              <w:rPr>
                <w:b/>
                <w:sz w:val="22"/>
              </w:rPr>
            </w:r>
          </w:p>
        </w:tc>
        <w:tc>
          <w:tcPr>
            <w:tcBorders/>
            <w:tcW w:w="875" w:type="dxa"/>
          </w:tcPr>
          <w:p>
            <w:pPr>
              <w:pStyle w:val="673"/>
              <w:pBdr/>
              <w:spacing w:before="123"/>
              <w:ind/>
              <w:rPr>
                <w:b/>
                <w:sz w:val="22"/>
              </w:rPr>
            </w:pPr>
            <w:r>
              <w:rPr>
                <w:b/>
                <w:sz w:val="22"/>
              </w:rPr>
              <w:t xml:space="preserve">Score</w:t>
            </w:r>
            <w:r>
              <w:rPr>
                <w:b/>
                <w:sz w:val="22"/>
              </w:rPr>
            </w:r>
          </w:p>
        </w:tc>
        <w:tc>
          <w:tcPr>
            <w:tcBorders/>
            <w:tcW w:w="3748" w:type="dxa"/>
          </w:tcPr>
          <w:p>
            <w:pPr>
              <w:pStyle w:val="673"/>
              <w:pBdr/>
              <w:spacing w:before="123"/>
              <w:ind/>
              <w:rPr>
                <w:b/>
                <w:sz w:val="22"/>
              </w:rPr>
            </w:pPr>
            <w:r>
              <w:rPr>
                <w:b/>
                <w:sz w:val="22"/>
              </w:rPr>
              <w:t xml:space="preserve">Potential impact</w:t>
            </w:r>
            <w:r>
              <w:rPr>
                <w:b/>
                <w:sz w:val="22"/>
              </w:rPr>
            </w:r>
          </w:p>
        </w:tc>
      </w:tr>
      <w:tr>
        <w:trPr>
          <w:trHeight w:val="418"/>
        </w:trPr>
        <w:tc>
          <w:tcPr>
            <w:tcBorders/>
            <w:tcW w:w="959" w:type="dxa"/>
          </w:tcPr>
          <w:p>
            <w:pPr>
              <w:pStyle w:val="673"/>
              <w:pBdr/>
              <w:spacing/>
              <w:ind/>
              <w:rPr>
                <w:sz w:val="22"/>
              </w:rPr>
            </w:pPr>
            <w:r>
              <w:rPr>
                <w:sz w:val="22"/>
              </w:rPr>
              <w:t xml:space="preserve">0</w:t>
            </w:r>
            <w:r>
              <w:rPr>
                <w:sz w:val="22"/>
              </w:rPr>
            </w:r>
          </w:p>
        </w:tc>
        <w:tc>
          <w:tcPr>
            <w:tcBorders/>
            <w:tcW w:w="3661" w:type="dxa"/>
          </w:tcPr>
          <w:p>
            <w:pPr>
              <w:pStyle w:val="673"/>
              <w:pBdr/>
              <w:spacing/>
              <w:ind/>
              <w:rPr>
                <w:sz w:val="22"/>
              </w:rPr>
            </w:pPr>
            <w:r>
              <w:rPr>
                <w:sz w:val="22"/>
              </w:rPr>
              <w:t xml:space="preserve">No risk</w:t>
            </w:r>
            <w:r>
              <w:rPr>
                <w:sz w:val="22"/>
              </w:rPr>
            </w:r>
          </w:p>
        </w:tc>
        <w:tc>
          <w:tcPr>
            <w:tcBorders/>
            <w:tcW w:w="875" w:type="dxa"/>
          </w:tcPr>
          <w:p>
            <w:pPr>
              <w:pStyle w:val="673"/>
              <w:pBdr/>
              <w:spacing/>
              <w:ind/>
              <w:rPr>
                <w:sz w:val="22"/>
              </w:rPr>
            </w:pPr>
            <w:r>
              <w:rPr>
                <w:sz w:val="22"/>
              </w:rPr>
              <w:t xml:space="preserve">3</w:t>
            </w:r>
            <w:r>
              <w:rPr>
                <w:sz w:val="22"/>
              </w:rPr>
            </w:r>
          </w:p>
        </w:tc>
        <w:tc>
          <w:tcPr>
            <w:tcBorders/>
            <w:tcW w:w="3748" w:type="dxa"/>
          </w:tcPr>
          <w:p>
            <w:pPr>
              <w:pStyle w:val="673"/>
              <w:pBdr/>
              <w:spacing/>
              <w:ind/>
              <w:rPr>
                <w:sz w:val="22"/>
              </w:rPr>
            </w:pPr>
            <w:r>
              <w:rPr>
                <w:sz w:val="22"/>
              </w:rPr>
              <w:t xml:space="preserve">Medium risk</w:t>
            </w:r>
            <w:r>
              <w:rPr>
                <w:sz w:val="22"/>
              </w:rPr>
            </w:r>
          </w:p>
        </w:tc>
      </w:tr>
      <w:tr>
        <w:trPr>
          <w:trHeight w:val="419"/>
        </w:trPr>
        <w:tc>
          <w:tcPr>
            <w:tcBorders/>
            <w:tcW w:w="959" w:type="dxa"/>
          </w:tcPr>
          <w:p>
            <w:pPr>
              <w:pStyle w:val="673"/>
              <w:pBdr/>
              <w:spacing w:before="110"/>
              <w:ind/>
              <w:rPr>
                <w:sz w:val="22"/>
              </w:rPr>
            </w:pPr>
            <w:r>
              <w:rPr>
                <w:sz w:val="22"/>
              </w:rPr>
              <w:t xml:space="preserve">1</w:t>
            </w:r>
            <w:r>
              <w:rPr>
                <w:sz w:val="22"/>
              </w:rPr>
            </w:r>
          </w:p>
        </w:tc>
        <w:tc>
          <w:tcPr>
            <w:tcBorders/>
            <w:tcW w:w="3661" w:type="dxa"/>
          </w:tcPr>
          <w:p>
            <w:pPr>
              <w:pStyle w:val="673"/>
              <w:pBdr/>
              <w:spacing w:before="110"/>
              <w:ind/>
              <w:rPr>
                <w:sz w:val="22"/>
              </w:rPr>
            </w:pPr>
            <w:r>
              <w:rPr>
                <w:sz w:val="22"/>
              </w:rPr>
              <w:t xml:space="preserve">Little risk</w:t>
            </w:r>
            <w:r>
              <w:rPr>
                <w:sz w:val="22"/>
              </w:rPr>
            </w:r>
          </w:p>
        </w:tc>
        <w:tc>
          <w:tcPr>
            <w:tcBorders/>
            <w:tcW w:w="875" w:type="dxa"/>
          </w:tcPr>
          <w:p>
            <w:pPr>
              <w:pStyle w:val="673"/>
              <w:pBdr/>
              <w:spacing w:before="110"/>
              <w:ind/>
              <w:rPr>
                <w:sz w:val="22"/>
              </w:rPr>
            </w:pPr>
            <w:r>
              <w:rPr>
                <w:sz w:val="22"/>
              </w:rPr>
              <w:t xml:space="preserve">4</w:t>
            </w:r>
            <w:r>
              <w:rPr>
                <w:sz w:val="22"/>
              </w:rPr>
            </w:r>
          </w:p>
        </w:tc>
        <w:tc>
          <w:tcPr>
            <w:tcBorders/>
            <w:tcW w:w="3748" w:type="dxa"/>
          </w:tcPr>
          <w:p>
            <w:pPr>
              <w:pStyle w:val="673"/>
              <w:pBdr/>
              <w:spacing w:before="110"/>
              <w:ind/>
              <w:rPr>
                <w:sz w:val="22"/>
              </w:rPr>
            </w:pPr>
            <w:r>
              <w:rPr>
                <w:sz w:val="22"/>
              </w:rPr>
              <w:t xml:space="preserve">High risk</w:t>
            </w:r>
            <w:r>
              <w:rPr>
                <w:sz w:val="22"/>
              </w:rPr>
            </w:r>
          </w:p>
        </w:tc>
      </w:tr>
      <w:tr>
        <w:trPr>
          <w:trHeight w:val="418"/>
        </w:trPr>
        <w:tc>
          <w:tcPr>
            <w:tcBorders/>
            <w:tcW w:w="959" w:type="dxa"/>
          </w:tcPr>
          <w:p>
            <w:pPr>
              <w:pStyle w:val="673"/>
              <w:pBdr/>
              <w:spacing/>
              <w:ind/>
              <w:rPr>
                <w:sz w:val="22"/>
              </w:rPr>
            </w:pPr>
            <w:r>
              <w:rPr>
                <w:sz w:val="22"/>
              </w:rPr>
              <w:t xml:space="preserve">2</w:t>
            </w:r>
            <w:r>
              <w:rPr>
                <w:sz w:val="22"/>
              </w:rPr>
            </w:r>
          </w:p>
        </w:tc>
        <w:tc>
          <w:tcPr>
            <w:tcBorders/>
            <w:tcW w:w="3661" w:type="dxa"/>
          </w:tcPr>
          <w:p>
            <w:pPr>
              <w:pStyle w:val="673"/>
              <w:pBdr/>
              <w:spacing/>
              <w:ind/>
              <w:rPr>
                <w:sz w:val="22"/>
              </w:rPr>
            </w:pPr>
            <w:r>
              <w:rPr>
                <w:sz w:val="22"/>
              </w:rPr>
              <w:t xml:space="preserve">Some risk</w:t>
            </w:r>
            <w:r>
              <w:rPr>
                <w:sz w:val="22"/>
              </w:rPr>
            </w:r>
          </w:p>
        </w:tc>
        <w:tc>
          <w:tcPr>
            <w:tcBorders/>
            <w:tcW w:w="875" w:type="dxa"/>
          </w:tcPr>
          <w:p>
            <w:pPr>
              <w:pStyle w:val="673"/>
              <w:pBdr/>
              <w:spacing/>
              <w:ind/>
              <w:rPr>
                <w:sz w:val="22"/>
              </w:rPr>
            </w:pPr>
            <w:r>
              <w:rPr>
                <w:sz w:val="22"/>
              </w:rPr>
              <w:t xml:space="preserve">5</w:t>
            </w:r>
            <w:r>
              <w:rPr>
                <w:sz w:val="22"/>
              </w:rPr>
            </w:r>
          </w:p>
        </w:tc>
        <w:tc>
          <w:tcPr>
            <w:tcBorders/>
            <w:tcW w:w="3748" w:type="dxa"/>
          </w:tcPr>
          <w:p>
            <w:pPr>
              <w:pStyle w:val="673"/>
              <w:pBdr/>
              <w:spacing/>
              <w:ind/>
              <w:rPr>
                <w:sz w:val="22"/>
              </w:rPr>
            </w:pPr>
            <w:r>
              <w:rPr>
                <w:sz w:val="22"/>
              </w:rPr>
              <w:t xml:space="preserve">Extreme risk</w:t>
            </w:r>
            <w:r>
              <w:rPr>
                <w:sz w:val="22"/>
              </w:rPr>
            </w:r>
          </w:p>
        </w:tc>
      </w:tr>
    </w:tbl>
    <w:sectPr>
      <w:footnotePr/>
      <w:endnotePr/>
      <w:type w:val="nextPage"/>
      <w:pgSz w:h="16840" w:orient="portrait" w:w="11900"/>
      <w:pgMar w:top="1440" w:right="1200" w:bottom="280" w:left="122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041"/>
      </w:pPr>
      <w:rPr>
        <w:rFonts w:hint="default" w:ascii="Symbol" w:hAnsi="Symbol" w:eastAsia="Symbol" w:cs="Symbol"/>
        <w:sz w:val="22"/>
        <w:szCs w:val="22"/>
      </w:rPr>
      <w:start w:val="0"/>
      <w:suff w:val="tab"/>
    </w:lvl>
    <w:lvl w:ilvl="1">
      <w:isLgl w:val="false"/>
      <w:lvlJc w:val="left"/>
      <w:lvlText w:val="•"/>
      <w:numFmt w:val="bullet"/>
      <w:pPr>
        <w:pBdr/>
        <w:spacing/>
        <w:ind w:hanging="360" w:left="1884"/>
      </w:pPr>
      <w:rPr>
        <w:rFonts w:hint="default"/>
      </w:rPr>
      <w:start w:val="0"/>
      <w:suff w:val="tab"/>
    </w:lvl>
    <w:lvl w:ilvl="2">
      <w:isLgl w:val="false"/>
      <w:lvlJc w:val="left"/>
      <w:lvlText w:val="•"/>
      <w:numFmt w:val="bullet"/>
      <w:pPr>
        <w:pBdr/>
        <w:spacing/>
        <w:ind w:hanging="360" w:left="2728"/>
      </w:pPr>
      <w:rPr>
        <w:rFonts w:hint="default"/>
      </w:rPr>
      <w:start w:val="0"/>
      <w:suff w:val="tab"/>
    </w:lvl>
    <w:lvl w:ilvl="3">
      <w:isLgl w:val="false"/>
      <w:lvlJc w:val="left"/>
      <w:lvlText w:val="•"/>
      <w:numFmt w:val="bullet"/>
      <w:pPr>
        <w:pBdr/>
        <w:spacing/>
        <w:ind w:hanging="360" w:left="3572"/>
      </w:pPr>
      <w:rPr>
        <w:rFonts w:hint="default"/>
      </w:rPr>
      <w:start w:val="0"/>
      <w:suff w:val="tab"/>
    </w:lvl>
    <w:lvl w:ilvl="4">
      <w:isLgl w:val="false"/>
      <w:lvlJc w:val="left"/>
      <w:lvlText w:val="•"/>
      <w:numFmt w:val="bullet"/>
      <w:pPr>
        <w:pBdr/>
        <w:spacing/>
        <w:ind w:hanging="360" w:left="4416"/>
      </w:pPr>
      <w:rPr>
        <w:rFonts w:hint="default"/>
      </w:rPr>
      <w:start w:val="0"/>
      <w:suff w:val="tab"/>
    </w:lvl>
    <w:lvl w:ilvl="5">
      <w:isLgl w:val="false"/>
      <w:lvlJc w:val="left"/>
      <w:lvlText w:val="•"/>
      <w:numFmt w:val="bullet"/>
      <w:pPr>
        <w:pBdr/>
        <w:spacing/>
        <w:ind w:hanging="360" w:left="5260"/>
      </w:pPr>
      <w:rPr>
        <w:rFonts w:hint="default"/>
      </w:rPr>
      <w:start w:val="0"/>
      <w:suff w:val="tab"/>
    </w:lvl>
    <w:lvl w:ilvl="6">
      <w:isLgl w:val="false"/>
      <w:lvlJc w:val="left"/>
      <w:lvlText w:val="•"/>
      <w:numFmt w:val="bullet"/>
      <w:pPr>
        <w:pBdr/>
        <w:spacing/>
        <w:ind w:hanging="360" w:left="6104"/>
      </w:pPr>
      <w:rPr>
        <w:rFonts w:hint="default"/>
      </w:rPr>
      <w:start w:val="0"/>
      <w:suff w:val="tab"/>
    </w:lvl>
    <w:lvl w:ilvl="7">
      <w:isLgl w:val="false"/>
      <w:lvlJc w:val="left"/>
      <w:lvlText w:val="•"/>
      <w:numFmt w:val="bullet"/>
      <w:pPr>
        <w:pBdr/>
        <w:spacing/>
        <w:ind w:hanging="360" w:left="6948"/>
      </w:pPr>
      <w:rPr>
        <w:rFonts w:hint="default"/>
      </w:rPr>
      <w:start w:val="0"/>
      <w:suff w:val="tab"/>
    </w:lvl>
    <w:lvl w:ilvl="8">
      <w:isLgl w:val="false"/>
      <w:lvlJc w:val="left"/>
      <w:lvlText w:val="•"/>
      <w:numFmt w:val="bullet"/>
      <w:pPr>
        <w:pBdr/>
        <w:spacing/>
        <w:ind w:hanging="360" w:left="7792"/>
      </w:pPr>
      <w:rPr>
        <w:rFonts w:hint="default"/>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9"/>
    <w:next w:val="66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9"/>
    <w:next w:val="66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9"/>
    <w:next w:val="66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9"/>
    <w:next w:val="66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9"/>
    <w:next w:val="66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9"/>
    <w:next w:val="66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9"/>
    <w:next w:val="66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9"/>
    <w:next w:val="66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9"/>
    <w:next w:val="66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character" w:styleId="160">
    <w:name w:val="Title Char"/>
    <w:basedOn w:val="666"/>
    <w:link w:val="671"/>
    <w:uiPriority w:val="10"/>
    <w:pPr>
      <w:pBdr/>
      <w:spacing/>
      <w:ind/>
    </w:pPr>
    <w:rPr>
      <w:rFonts w:ascii="Arial" w:hAnsi="Arial" w:eastAsia="Arial" w:cs="Arial"/>
      <w:spacing w:val="-10"/>
      <w:sz w:val="56"/>
      <w:szCs w:val="56"/>
    </w:rPr>
  </w:style>
  <w:style w:type="paragraph" w:styleId="161">
    <w:name w:val="Subtitle"/>
    <w:basedOn w:val="669"/>
    <w:next w:val="669"/>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9"/>
    <w:next w:val="669"/>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9"/>
    <w:next w:val="66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9"/>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2">
    <w:name w:val="Emphasis"/>
    <w:basedOn w:val="666"/>
    <w:uiPriority w:val="20"/>
    <w:qFormat/>
    <w:pPr>
      <w:pBdr/>
      <w:spacing/>
      <w:ind/>
    </w:pPr>
    <w:rPr>
      <w:i/>
      <w:iCs/>
    </w:rPr>
  </w:style>
  <w:style w:type="character" w:styleId="173">
    <w:name w:val="Strong"/>
    <w:basedOn w:val="666"/>
    <w:uiPriority w:val="22"/>
    <w:qFormat/>
    <w:pPr>
      <w:pBdr/>
      <w:spacing/>
      <w:ind/>
    </w:pPr>
    <w:rPr>
      <w:b/>
      <w:bCs/>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0">
    <w:name w:val="Caption"/>
    <w:basedOn w:val="669"/>
    <w:next w:val="669"/>
    <w:uiPriority w:val="35"/>
    <w:unhideWhenUsed/>
    <w:qFormat/>
    <w:pPr>
      <w:pBdr/>
      <w:spacing w:after="200" w:line="240" w:lineRule="auto"/>
      <w:ind/>
    </w:pPr>
    <w:rPr>
      <w:i/>
      <w:iCs/>
      <w:color w:val="0e2841" w:themeColor="text2"/>
      <w:sz w:val="18"/>
      <w:szCs w:val="18"/>
    </w:rPr>
  </w:style>
  <w:style w:type="paragraph" w:styleId="181">
    <w:name w:val="footnote text"/>
    <w:basedOn w:val="669"/>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9"/>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character" w:styleId="666" w:default="1">
    <w:name w:val="Default Paragraph Font"/>
    <w:uiPriority w:val="1"/>
    <w:semiHidden/>
    <w:unhideWhenUsed/>
    <w:pPr>
      <w:pBdr/>
      <w:spacing/>
      <w:ind/>
    </w:pPr>
  </w:style>
  <w:style w:type="table" w:styleId="66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8" w:default="1">
    <w:name w:val="No List"/>
    <w:uiPriority w:val="99"/>
    <w:semiHidden/>
    <w:unhideWhenUsed/>
    <w:pPr>
      <w:pBdr/>
      <w:spacing/>
      <w:ind/>
    </w:pPr>
  </w:style>
  <w:style w:type="paragraph" w:styleId="669" w:default="1">
    <w:name w:val="Normal"/>
    <w:uiPriority w:val="1"/>
    <w:qFormat/>
    <w:pPr>
      <w:pBdr/>
      <w:spacing/>
      <w:ind/>
    </w:pPr>
    <w:rPr>
      <w:rFonts w:ascii="Calibri" w:hAnsi="Calibri" w:eastAsia="Calibri" w:cs="Calibri"/>
    </w:rPr>
  </w:style>
  <w:style w:type="paragraph" w:styleId="670">
    <w:name w:val="Body Text"/>
    <w:basedOn w:val="669"/>
    <w:uiPriority w:val="1"/>
    <w:qFormat/>
    <w:pPr>
      <w:pBdr/>
      <w:spacing w:before="1"/>
      <w:ind/>
    </w:pPr>
    <w:rPr>
      <w:rFonts w:ascii="Calibri" w:hAnsi="Calibri" w:eastAsia="Calibri" w:cs="Calibri"/>
      <w:sz w:val="22"/>
      <w:szCs w:val="22"/>
    </w:rPr>
  </w:style>
  <w:style w:type="paragraph" w:styleId="671">
    <w:name w:val="Title"/>
    <w:basedOn w:val="669"/>
    <w:uiPriority w:val="1"/>
    <w:qFormat/>
    <w:pPr>
      <w:pBdr/>
      <w:spacing w:before="39"/>
      <w:ind w:left="220"/>
    </w:pPr>
    <w:rPr>
      <w:rFonts w:ascii="Calibri" w:hAnsi="Calibri" w:eastAsia="Calibri" w:cs="Calibri"/>
      <w:b/>
      <w:bCs/>
      <w:sz w:val="22"/>
      <w:szCs w:val="22"/>
      <w:u w:val="single"/>
    </w:rPr>
  </w:style>
  <w:style w:type="paragraph" w:styleId="672">
    <w:name w:val="List Paragraph"/>
    <w:basedOn w:val="669"/>
    <w:uiPriority w:val="1"/>
    <w:qFormat/>
    <w:pPr>
      <w:pBdr/>
      <w:spacing/>
      <w:ind w:hanging="361" w:left="1042"/>
    </w:pPr>
    <w:rPr>
      <w:rFonts w:ascii="Calibri" w:hAnsi="Calibri" w:eastAsia="Calibri" w:cs="Calibri"/>
    </w:rPr>
  </w:style>
  <w:style w:type="paragraph" w:styleId="673">
    <w:name w:val="Table Paragraph"/>
    <w:basedOn w:val="669"/>
    <w:uiPriority w:val="1"/>
    <w:qFormat/>
    <w:pPr>
      <w:pBdr/>
      <w:spacing w:before="109"/>
      <w:ind w:left="107"/>
    </w:pPr>
    <w:rPr>
      <w:rFonts w:ascii="Calibri" w:hAnsi="Calibri" w:eastAsia="Calibri" w:cs="Calibri"/>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fdempsey</dc:creator>
  <cp:revision>1</cp:revision>
  <dcterms:created xsi:type="dcterms:W3CDTF">2020-11-21T16:22:05Z</dcterms:created>
  <dcterms:modified xsi:type="dcterms:W3CDTF">2026-09-29T23:28:59Z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2013-03-06T00:00:00Z</vt:filetime>
  </property>
  <property fmtid="{D5CDD505-2E9C-101B-9397-08002B2CF9AE}" pid="3" name="Creator">
    <vt:lpwstr>Acrobat PDFMaker 8.1 for Word</vt:lpwstr>
  </property>
  <property fmtid="{D5CDD505-2E9C-101B-9397-08002B2CF9AE}" pid="4" name="LastSaved">
    <vt:filetime>2020-11-21T00:00:00Z</vt:filetime>
  </property>
</Properties>
</file>