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595959"/>
          <w:sz w:val="20"/>
          <w:szCs w:val="20"/>
        </w:rPr>
        <w:t xml:space="preserve">ITrustU Insurance Company</w:t>
      </w:r>
    </w:p>
    <w:p>
      <w:pPr>
        <w:spacing w:after="80"/>
      </w:pPr>
      <w:r>
        <w:rPr>
          <w:rFonts w:ascii="Calibri" w:cs="Calibri" w:eastAsia="Calibri" w:hAnsi="Calibri"/>
          <w:b/>
          <w:bCs/>
          <w:color w:val="1F3864"/>
          <w:sz w:val="44"/>
          <w:szCs w:val="44"/>
        </w:rPr>
        <w:t xml:space="preserve">Marketplace Risks</w:t>
      </w:r>
    </w:p>
    <w:p>
      <w:pPr>
        <w:spacing w:after="40"/>
      </w:pPr>
      <w:r>
        <w:rPr>
          <w:rFonts w:ascii="Calibri" w:cs="Calibri" w:eastAsia="Calibri" w:hAnsi="Calibri"/>
          <w:color w:val="2E5E8C"/>
          <w:sz w:val="22"/>
          <w:szCs w:val="22"/>
        </w:rPr>
        <w:t xml:space="preserve">Riskiness Index — Component 4  ·  Assessment year: 2020</w:t>
      </w:r>
    </w:p>
    <w:p>
      <w:pPr>
        <w:spacing w:after="300"/>
      </w:pPr>
      <w:r>
        <w:rPr>
          <w:rFonts w:ascii="Calibri" w:cs="Calibri" w:eastAsia="Calibri" w:hAnsi="Calibri"/>
          <w:color w:val="595959"/>
          <w:sz w:val="21"/>
          <w:szCs w:val="21"/>
        </w:rPr>
        <w:t xml:space="preserve">Prepared by Urman Nagari</w:t>
      </w:r>
    </w:p>
    <w:p>
      <w:pPr>
        <w:spacing w:after="160" w:before="320"/>
      </w:pPr>
      <w:r>
        <w:rPr>
          <w:rFonts w:ascii="Calibri" w:cs="Calibri" w:eastAsia="Calibri" w:hAnsi="Calibri"/>
          <w:b/>
          <w:bCs/>
          <w:color w:val="1F3864"/>
          <w:sz w:val="30"/>
          <w:szCs w:val="30"/>
        </w:rPr>
        <w:t xml:space="preserve">1.  Scope and basis of assessment</w:t>
      </w:r>
    </w:p>
    <w:p>
      <w:pPr>
        <w:spacing w:after="130" w:line="276"/>
        <w:jc w:val="both"/>
      </w:pPr>
      <w:r>
        <w:rPr>
          <w:rFonts w:ascii="Calibri" w:cs="Calibri" w:eastAsia="Calibri" w:hAnsi="Calibri"/>
          <w:i w:val="false"/>
          <w:iCs w:val="false"/>
          <w:color w:val="000000"/>
          <w:sz w:val="21"/>
          <w:szCs w:val="21"/>
        </w:rPr>
        <w:t xml:space="preserve">The marketplace component of the riskiness index measures ITrustU’s exposure to conditions outside the organisation: its ability to earn a return, the intensity of competition and product change, the health and stability of the economy it trades in, and the reliability and cost of the third parties it depends on to deliver its product.</w:t>
      </w:r>
    </w:p>
    <w:p>
      <w:pPr>
        <w:spacing w:after="130" w:line="276"/>
        <w:jc w:val="both"/>
      </w:pPr>
      <w:r>
        <w:rPr>
          <w:rFonts w:ascii="Calibri" w:cs="Calibri" w:eastAsia="Calibri" w:hAnsi="Calibri"/>
          <w:i w:val="false"/>
          <w:iCs w:val="false"/>
          <w:color w:val="000000"/>
          <w:sz w:val="21"/>
          <w:szCs w:val="21"/>
        </w:rPr>
        <w:t xml:space="preserve">This assessment is made on the team’s stated organisational assumptions: ITrustU is a large Canadian insurer of roughly 50 staff writing car, travel, life, pension, motorcycle and RV, and home, condo and renter policies, and the assessment year is 2020. That year is not incidental. Every score below is driven by the pandemic and by the monetary and economic response to it, and a marketplace assessment of ITrustU in 2019 or 2022 would look materially different.</w:t>
      </w:r>
    </w:p>
    <w:p>
      <w:pPr>
        <w:spacing w:after="130" w:line="276"/>
        <w:jc w:val="both"/>
      </w:pPr>
      <w:r>
        <w:rPr>
          <w:rFonts w:ascii="Calibri" w:cs="Calibri" w:eastAsia="Calibri" w:hAnsi="Calibri"/>
          <w:b w:val="false"/>
          <w:bCs w:val="false"/>
          <w:i w:val="false"/>
          <w:iCs w:val="false"/>
          <w:color w:val="000000"/>
          <w:sz w:val="21"/>
          <w:szCs w:val="21"/>
        </w:rPr>
        <w:t xml:space="preserve">Where ITrustU’s own book data was not available, Canadian industry figures have been used as a proxy and are cited. </w:t>
      </w:r>
      <w:r>
        <w:rPr>
          <w:rFonts w:ascii="Calibri" w:cs="Calibri" w:eastAsia="Calibri" w:hAnsi="Calibri"/>
          <w:b w:val="false"/>
          <w:bCs w:val="false"/>
          <w:i/>
          <w:iCs/>
          <w:color w:val="000000"/>
          <w:sz w:val="21"/>
          <w:szCs w:val="21"/>
        </w:rPr>
        <w:t xml:space="preserve">These are sector-level indicators, not ITrustU’s results, and are presented as such.</w:t>
      </w:r>
    </w:p>
    <w:p>
      <w:pPr>
        <w:spacing w:after="160" w:before="320"/>
      </w:pPr>
      <w:r>
        <w:rPr>
          <w:rFonts w:ascii="Calibri" w:cs="Calibri" w:eastAsia="Calibri" w:hAnsi="Calibri"/>
          <w:b/>
          <w:bCs/>
          <w:color w:val="1F3864"/>
          <w:sz w:val="30"/>
          <w:szCs w:val="30"/>
        </w:rPr>
        <w:t xml:space="preserve">2.  Riskiness index scores</w:t>
      </w:r>
    </w:p>
    <w:p>
      <w:pPr>
        <w:spacing w:after="130" w:line="276"/>
        <w:jc w:val="both"/>
      </w:pPr>
      <w:r>
        <w:rPr>
          <w:rFonts w:ascii="Calibri" w:cs="Calibri" w:eastAsia="Calibri" w:hAnsi="Calibri"/>
          <w:i w:val="false"/>
          <w:iCs w:val="false"/>
          <w:color w:val="000000"/>
          <w:sz w:val="21"/>
          <w:szCs w:val="21"/>
        </w:rPr>
        <w:t xml:space="preserve">Each line is scored 0 to 5, where 0 is no risk and 5 is extreme risk.</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760"/>
        <w:gridCol w:w="4300"/>
        <w:gridCol w:w="760"/>
        <w:gridCol w:w="3540"/>
      </w:tblGrid>
      <w:tr>
        <w:trPr>
          <w:tblHeader/>
        </w:trPr>
        <w:tc>
          <w:tcPr>
            <w:tcW w:type="dxa" w:w="760"/>
            <w:tcMar>
              <w:top w:type="dxa" w:w="80"/>
              <w:left w:type="dxa" w:w="110"/>
              <w:bottom w:type="dxa" w:w="80"/>
              <w:right w:type="dxa" w:w="110"/>
            </w:tcMar>
          </w:tcPr>
          <w:p>
            <w:pPr>
              <w:jc w:val="left"/>
            </w:pPr>
            <w:r>
              <w:rPr>
                <w:rFonts w:ascii="Calibri" w:cs="Calibri" w:eastAsia="Calibri" w:hAnsi="Calibri"/>
                <w:b/>
                <w:bCs/>
                <w:color w:val="000000"/>
                <w:sz w:val="20"/>
                <w:szCs w:val="20"/>
              </w:rPr>
              <w:t xml:space="preserve">Code</w:t>
            </w:r>
          </w:p>
        </w:tc>
        <w:tc>
          <w:tcPr>
            <w:tcW w:type="dxa" w:w="4300"/>
            <w:tcMar>
              <w:top w:type="dxa" w:w="80"/>
              <w:left w:type="dxa" w:w="110"/>
              <w:bottom w:type="dxa" w:w="80"/>
              <w:right w:type="dxa" w:w="110"/>
            </w:tcMar>
          </w:tcPr>
          <w:p>
            <w:pPr>
              <w:jc w:val="left"/>
            </w:pPr>
            <w:r>
              <w:rPr>
                <w:rFonts w:ascii="Calibri" w:cs="Calibri" w:eastAsia="Calibri" w:hAnsi="Calibri"/>
                <w:b/>
                <w:bCs/>
                <w:color w:val="000000"/>
                <w:sz w:val="20"/>
                <w:szCs w:val="20"/>
              </w:rPr>
              <w:t xml:space="preserve">Risk description</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Score</w:t>
            </w:r>
          </w:p>
        </w:tc>
        <w:tc>
          <w:tcPr>
            <w:tcW w:type="dxa" w:w="3540"/>
            <w:tcMar>
              <w:top w:type="dxa" w:w="80"/>
              <w:left w:type="dxa" w:w="110"/>
              <w:bottom w:type="dxa" w:w="80"/>
              <w:right w:type="dxa" w:w="110"/>
            </w:tcMar>
          </w:tcPr>
          <w:p>
            <w:pPr>
              <w:jc w:val="left"/>
            </w:pPr>
            <w:r>
              <w:rPr>
                <w:rFonts w:ascii="Calibri" w:cs="Calibri" w:eastAsia="Calibri" w:hAnsi="Calibri"/>
                <w:b/>
                <w:bCs/>
                <w:color w:val="000000"/>
                <w:sz w:val="20"/>
                <w:szCs w:val="20"/>
              </w:rPr>
              <w:t xml:space="preserve">Basis for score</w:t>
            </w:r>
          </w:p>
        </w:tc>
      </w:tr>
      <w:tr>
        <w:tc>
          <w:tcPr>
            <w:tcW w:type="dxa" w:w="76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4.1</w:t>
            </w:r>
          </w:p>
        </w:tc>
        <w:tc>
          <w:tcPr>
            <w:tcW w:type="dxa" w:w="430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Insufficient revenue generation or inadequate return on investment</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4</w:t>
            </w:r>
          </w:p>
        </w:tc>
        <w:tc>
          <w:tcPr>
            <w:tcW w:type="dxa" w:w="354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Policy rate at the effective lower bound compresses investment yield on long-dated life and pension liabilities; premium relief given back directly; travel line effectively ceased trading.</w:t>
            </w:r>
          </w:p>
        </w:tc>
      </w:tr>
      <w:tr>
        <w:tc>
          <w:tcPr>
            <w:tcW w:type="dxa" w:w="76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4.2</w:t>
            </w:r>
          </w:p>
        </w:tc>
        <w:tc>
          <w:tcPr>
            <w:tcW w:type="dxa" w:w="430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Competitive marketplace and/or rapidly changing product technology</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4</w:t>
            </w:r>
          </w:p>
        </w:tc>
        <w:tc>
          <w:tcPr>
            <w:tcW w:type="dxa" w:w="354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Commoditised personal lines with low switching costs, plus a sudden shift to digital distribution and telematics that outpaced ITrustU’s on-premises technology base.</w:t>
            </w:r>
          </w:p>
        </w:tc>
      </w:tr>
      <w:tr>
        <w:tc>
          <w:tcPr>
            <w:tcW w:type="dxa" w:w="76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4.3</w:t>
            </w:r>
          </w:p>
        </w:tc>
        <w:tc>
          <w:tcPr>
            <w:tcW w:type="dxa" w:w="430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Poor sovereign economic health and/or lack of economic or political stability</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3</w:t>
            </w:r>
          </w:p>
        </w:tc>
        <w:tc>
          <w:tcPr>
            <w:tcW w:type="dxa" w:w="354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Severe but time-limited economic shock, materially buffered by federal income support; political stability remained high and ITrustU carries no exposure to unstable jurisdictions.</w:t>
            </w:r>
          </w:p>
        </w:tc>
      </w:tr>
      <w:tr>
        <w:tc>
          <w:tcPr>
            <w:tcW w:type="dxa" w:w="76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4.4</w:t>
            </w:r>
          </w:p>
        </w:tc>
        <w:tc>
          <w:tcPr>
            <w:tcW w:type="dxa" w:w="430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Complex supply chain and/or unpredictable raw materials costs</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4</w:t>
            </w:r>
          </w:p>
        </w:tc>
        <w:tc>
          <w:tcPr>
            <w:tcW w:type="dxa" w:w="354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Simultaneous stress across single-vendor third parties (ISP, cloud, shredding, mailing), plus claims-settlement cost inflation that cannot be repriced mid-term.</w:t>
            </w:r>
          </w:p>
        </w:tc>
      </w:tr>
      <w:tr>
        <w:tc>
          <w:tcPr>
            <w:tcW w:type="dxa" w:w="760"/>
            <w:tcMar>
              <w:top w:type="dxa" w:w="80"/>
              <w:left w:type="dxa" w:w="110"/>
              <w:bottom w:type="dxa" w:w="80"/>
              <w:right w:type="dxa" w:w="110"/>
            </w:tcMar>
          </w:tcPr>
          <w:p>
            <w:pPr>
              <w:jc w:val="left"/>
            </w:pPr>
            <w:r>
              <w:rPr>
                <w:rFonts w:ascii="Calibri" w:cs="Calibri" w:eastAsia="Calibri" w:hAnsi="Calibri"/>
                <w:b w:val="false"/>
                <w:bCs w:val="false"/>
                <w:color w:val="000000"/>
                <w:sz w:val="20"/>
                <w:szCs w:val="20"/>
              </w:rPr>
              <w:t xml:space="preserve"/>
            </w:r>
          </w:p>
        </w:tc>
        <w:tc>
          <w:tcPr>
            <w:tcW w:type="dxa" w:w="4300"/>
            <w:tcMar>
              <w:top w:type="dxa" w:w="80"/>
              <w:left w:type="dxa" w:w="110"/>
              <w:bottom w:type="dxa" w:w="80"/>
              <w:right w:type="dxa" w:w="110"/>
            </w:tcMar>
          </w:tcPr>
          <w:p>
            <w:pPr>
              <w:jc w:val="left"/>
            </w:pPr>
            <w:r>
              <w:rPr>
                <w:rFonts w:ascii="Calibri" w:cs="Calibri" w:eastAsia="Calibri" w:hAnsi="Calibri"/>
                <w:b/>
                <w:bCs/>
                <w:color w:val="000000"/>
                <w:sz w:val="20"/>
                <w:szCs w:val="20"/>
              </w:rPr>
              <w:t xml:space="preserve">TOTAL for marketplace component</w:t>
            </w:r>
          </w:p>
        </w:tc>
        <w:tc>
          <w:tcPr>
            <w:tcW w:type="dxa" w:w="760"/>
            <w:tcMar>
              <w:top w:type="dxa" w:w="80"/>
              <w:left w:type="dxa" w:w="110"/>
              <w:bottom w:type="dxa" w:w="80"/>
              <w:right w:type="dxa" w:w="110"/>
            </w:tcMar>
          </w:tcPr>
          <w:p>
            <w:pPr>
              <w:jc w:val="center"/>
            </w:pPr>
            <w:r>
              <w:rPr>
                <w:rFonts w:ascii="Calibri" w:cs="Calibri" w:eastAsia="Calibri" w:hAnsi="Calibri"/>
                <w:b/>
                <w:bCs/>
                <w:color w:val="000000"/>
                <w:sz w:val="20"/>
                <w:szCs w:val="20"/>
              </w:rPr>
              <w:t xml:space="preserve">15</w:t>
            </w:r>
          </w:p>
        </w:tc>
        <w:tc>
          <w:tcPr>
            <w:tcW w:type="dxa" w:w="3540"/>
            <w:tcMar>
              <w:top w:type="dxa" w:w="80"/>
              <w:left w:type="dxa" w:w="110"/>
              <w:bottom w:type="dxa" w:w="80"/>
              <w:right w:type="dxa" w:w="110"/>
            </w:tcMar>
          </w:tcPr>
          <w:p>
            <w:pPr>
              <w:jc w:val="left"/>
            </w:pPr>
            <w:r>
              <w:rPr>
                <w:rFonts w:ascii="Calibri" w:cs="Calibri" w:eastAsia="Calibri" w:hAnsi="Calibri"/>
                <w:b/>
                <w:bCs/>
                <w:color w:val="000000"/>
                <w:sz w:val="19"/>
                <w:szCs w:val="19"/>
              </w:rPr>
              <w:t xml:space="preserve">High exposure (15 of a possible 20)</w:t>
            </w:r>
          </w:p>
        </w:tc>
      </w:tr>
    </w:tbl>
    <w:p>
      <w:pPr>
        <w:spacing w:after="60"/>
      </w:pPr>
      <w:r>
        <w:rPr>
          <w:rFonts w:ascii="Calibri" w:cs="Calibri" w:eastAsia="Calibri" w:hAnsi="Calibri"/>
          <w:sz w:val="12"/>
          <w:szCs w:val="12"/>
        </w:rPr>
        <w:t xml:space="preserve"> </w:t>
      </w:r>
    </w:p>
    <w:p>
      <w:pPr>
        <w:spacing w:after="130" w:line="276"/>
        <w:jc w:val="both"/>
      </w:pPr>
      <w:r>
        <w:rPr>
          <w:rFonts w:ascii="Calibri" w:cs="Calibri" w:eastAsia="Calibri" w:hAnsi="Calibri"/>
          <w:b/>
          <w:bCs/>
          <w:i w:val="false"/>
          <w:iCs w:val="false"/>
          <w:color w:val="000000"/>
          <w:sz w:val="21"/>
          <w:szCs w:val="21"/>
        </w:rPr>
        <w:t xml:space="preserve">Overall marketplace exposure is high. </w:t>
      </w:r>
      <w:r>
        <w:rPr>
          <w:rFonts w:ascii="Calibri" w:cs="Calibri" w:eastAsia="Calibri" w:hAnsi="Calibri"/>
          <w:b w:val="false"/>
          <w:bCs w:val="false"/>
          <w:i w:val="false"/>
          <w:iCs w:val="false"/>
          <w:color w:val="000000"/>
          <w:sz w:val="21"/>
          <w:szCs w:val="21"/>
        </w:rPr>
        <w:t xml:space="preserve">Three of the four lines score 4. The component is not scored higher because the fourth line, sovereign and political stability, is genuinely moderate for a domestically concentrated Canadian insurer, and because the 2020 underwriting result was unusually strong. The reasoning for each score is set out below.</w:t>
      </w:r>
    </w:p>
    <w:p>
      <w:pPr>
        <w:spacing w:after="160" w:before="320"/>
      </w:pPr>
      <w:r>
        <w:rPr>
          <w:rFonts w:ascii="Calibri" w:cs="Calibri" w:eastAsia="Calibri" w:hAnsi="Calibri"/>
          <w:b/>
          <w:bCs/>
          <w:color w:val="1F3864"/>
          <w:sz w:val="30"/>
          <w:szCs w:val="30"/>
        </w:rPr>
        <w:t xml:space="preserve">3.  Basis for each score</w:t>
      </w:r>
    </w:p>
    <w:p>
      <w:pPr>
        <w:spacing w:after="110" w:before="260"/>
      </w:pPr>
      <w:r>
        <w:rPr>
          <w:rFonts w:ascii="Calibri" w:cs="Calibri" w:eastAsia="Calibri" w:hAnsi="Calibri"/>
          <w:b/>
          <w:bCs/>
          <w:color w:val="2E5E8C"/>
          <w:sz w:val="24"/>
          <w:szCs w:val="24"/>
        </w:rPr>
        <w:t xml:space="preserve">4.1  Insufficient revenue generation or inadequate return on investment — 4</w:t>
      </w:r>
    </w:p>
    <w:p>
      <w:pPr>
        <w:spacing w:after="130" w:line="276"/>
        <w:jc w:val="both"/>
      </w:pPr>
      <w:r>
        <w:rPr>
          <w:rFonts w:ascii="Calibri" w:cs="Calibri" w:eastAsia="Calibri" w:hAnsi="Calibri"/>
          <w:i w:val="false"/>
          <w:iCs w:val="false"/>
          <w:color w:val="000000"/>
          <w:sz w:val="21"/>
          <w:szCs w:val="21"/>
        </w:rPr>
        <w:t xml:space="preserve">ITrustU’s revenue was pressed from three directions at once in 2020. The most serious is the least visible. On 27 March 2020 the Bank of Canada lowered the overnight rate to 0.25%, its effective lower bound, citing the pandemic and a collapse in world oil prices. For an insurer holding long-duration reserves against life insurance and pension liabilities, this compresses the yield earned on invested premium float while raising the present value of what is owed. Unlike a claims shock, it does not reverse when restrictions lift.</w:t>
      </w:r>
    </w:p>
    <w:p>
      <w:pPr>
        <w:spacing w:after="130" w:line="276"/>
        <w:jc w:val="both"/>
      </w:pPr>
      <w:r>
        <w:rPr>
          <w:rFonts w:ascii="Calibri" w:cs="Calibri" w:eastAsia="Calibri" w:hAnsi="Calibri"/>
          <w:i w:val="false"/>
          <w:iCs w:val="false"/>
          <w:color w:val="000000"/>
          <w:sz w:val="21"/>
          <w:szCs w:val="21"/>
        </w:rPr>
        <w:t xml:space="preserve">Second, competitive and regulatory pressure forced direct premium give-backs: Ontario auto insurers had provided about $992 million in consumer relief by July 2020, reaching roughly 93% of the province’s 6.6 million auto policies. Third, travel insurance — one of ITrustU’s six product lines — effectively stopped trading, with industry policy sales down about 60% and an estimated $504 million in lost premium.</w:t>
      </w:r>
    </w:p>
    <w:p>
      <w:pPr>
        <w:spacing w:after="130" w:line="276"/>
        <w:jc w:val="both"/>
      </w:pPr>
      <w:r>
        <w:rPr>
          <w:rFonts w:ascii="Calibri" w:cs="Calibri" w:eastAsia="Calibri" w:hAnsi="Calibri"/>
          <w:b/>
          <w:bCs/>
          <w:i w:val="false"/>
          <w:iCs w:val="false"/>
          <w:color w:val="000000"/>
          <w:sz w:val="21"/>
          <w:szCs w:val="21"/>
        </w:rPr>
        <w:t xml:space="preserve">Why 4 and not 5. </w:t>
      </w:r>
      <w:r>
        <w:rPr>
          <w:rFonts w:ascii="Calibri" w:cs="Calibri" w:eastAsia="Calibri" w:hAnsi="Calibri"/>
          <w:b w:val="false"/>
          <w:bCs w:val="false"/>
          <w:i w:val="false"/>
          <w:iCs w:val="false"/>
          <w:color w:val="000000"/>
          <w:sz w:val="21"/>
          <w:szCs w:val="21"/>
        </w:rPr>
        <w:t xml:space="preserve">Property and casualty underwriting was unusually profitable in 2020: the industry combined ratio improved to 94.6% from 99.8%, and net income rose to $6.5 billion from $4.2 billion, because auto claims frequency fell further than auto premium. ITrustU faces no immediate solvency threat. But that cushion is cyclical and unwinds as driving normalises, whereas the investment-yield problem persists.</w:t>
      </w:r>
    </w:p>
    <w:p>
      <w:pPr>
        <w:spacing w:after="110" w:before="260"/>
      </w:pPr>
      <w:r>
        <w:rPr>
          <w:rFonts w:ascii="Calibri" w:cs="Calibri" w:eastAsia="Calibri" w:hAnsi="Calibri"/>
          <w:b/>
          <w:bCs/>
          <w:color w:val="2E5E8C"/>
          <w:sz w:val="24"/>
          <w:szCs w:val="24"/>
        </w:rPr>
        <w:t xml:space="preserve">4.2  Competitive marketplace and/or rapidly changing product technology — 4</w:t>
      </w:r>
    </w:p>
    <w:p>
      <w:pPr>
        <w:spacing w:after="130" w:line="276"/>
        <w:jc w:val="both"/>
      </w:pPr>
      <w:r>
        <w:rPr>
          <w:rFonts w:ascii="Calibri" w:cs="Calibri" w:eastAsia="Calibri" w:hAnsi="Calibri"/>
          <w:i w:val="false"/>
          <w:iCs w:val="false"/>
          <w:color w:val="000000"/>
          <w:sz w:val="21"/>
          <w:szCs w:val="21"/>
        </w:rPr>
        <w:t xml:space="preserve">Canadian personal lines are already commoditised and comparison-shopped, so switching costs are low and price transparency is high. What 2020 added was a technology shift moving faster than ITrustU’s infrastructure could follow.</w:t>
      </w:r>
    </w:p>
    <w:p>
      <w:pPr>
        <w:spacing w:after="130" w:line="276"/>
        <w:jc w:val="both"/>
      </w:pPr>
      <w:r>
        <w:rPr>
          <w:rFonts w:ascii="Calibri" w:cs="Calibri" w:eastAsia="Calibri" w:hAnsi="Calibri"/>
          <w:i w:val="false"/>
          <w:iCs w:val="false"/>
          <w:color w:val="000000"/>
          <w:sz w:val="21"/>
          <w:szCs w:val="21"/>
        </w:rPr>
        <w:t xml:space="preserve">Two pressures matter specifically. Usage-based insurance moved from novelty to mainstream expectation: driver interest rose 43% year over year as people drove less, and an insurer able to offer a telematics discount could retain a low-mileage customer that an insurer without one would lose, either to a competitor or to a coverage downgrade. Separately, distribution moved online almost overnight. A LIMRA survey of twelve Canadian life insurers in March 2020 found the majority reported a decline in face-to-face applications, and that the Canadian response was largely to relax underwriting requirements — waiving paramedical exams, postponing others — rather than to build digital channels.</w:t>
      </w:r>
    </w:p>
    <w:p>
      <w:pPr>
        <w:spacing w:after="130" w:line="276"/>
        <w:jc w:val="both"/>
      </w:pPr>
      <w:r>
        <w:rPr>
          <w:rFonts w:ascii="Calibri" w:cs="Calibri" w:eastAsia="Calibri" w:hAnsi="Calibri"/>
          <w:b/>
          <w:bCs/>
          <w:i w:val="false"/>
          <w:iCs w:val="false"/>
          <w:color w:val="000000"/>
          <w:sz w:val="21"/>
          <w:szCs w:val="21"/>
        </w:rPr>
        <w:t xml:space="preserve">ITrustU’s stated technology base is the constraint. </w:t>
      </w:r>
      <w:r>
        <w:rPr>
          <w:rFonts w:ascii="Calibri" w:cs="Calibri" w:eastAsia="Calibri" w:hAnsi="Calibri"/>
          <w:b w:val="false"/>
          <w:bCs w:val="false"/>
          <w:i w:val="false"/>
          <w:iCs w:val="false"/>
          <w:color w:val="000000"/>
          <w:sz w:val="21"/>
          <w:szCs w:val="21"/>
        </w:rPr>
        <w:t xml:space="preserve">Roughly 50 desktops of varying power, a couple of laptops, on-site servers and a single ISP connection is a physical limit on competing for digitally acquired customers. Scored 4 rather than 5 because a customer-facing website and mobile app already exist, so the gap is one of capability rather than presence.</w:t>
      </w:r>
    </w:p>
    <w:p>
      <w:pPr>
        <w:spacing w:after="110" w:before="260"/>
      </w:pPr>
      <w:r>
        <w:rPr>
          <w:rFonts w:ascii="Calibri" w:cs="Calibri" w:eastAsia="Calibri" w:hAnsi="Calibri"/>
          <w:b/>
          <w:bCs/>
          <w:color w:val="2E5E8C"/>
          <w:sz w:val="24"/>
          <w:szCs w:val="24"/>
        </w:rPr>
        <w:t xml:space="preserve">4.3  Poor sovereign economic health and/or lack of economic or political stability — 3</w:t>
      </w:r>
    </w:p>
    <w:p>
      <w:pPr>
        <w:spacing w:after="130" w:line="276"/>
        <w:jc w:val="both"/>
      </w:pPr>
      <w:r>
        <w:rPr>
          <w:rFonts w:ascii="Calibri" w:cs="Calibri" w:eastAsia="Calibri" w:hAnsi="Calibri"/>
          <w:i w:val="false"/>
          <w:iCs w:val="false"/>
          <w:color w:val="000000"/>
          <w:sz w:val="21"/>
          <w:szCs w:val="21"/>
        </w:rPr>
        <w:t xml:space="preserve">This line asks two questions that point in opposite directions for ITrustU, and the score reflects both rather than only the alarming one.</w:t>
      </w:r>
    </w:p>
    <w:p>
      <w:pPr>
        <w:spacing w:after="130" w:line="276"/>
        <w:jc w:val="both"/>
      </w:pPr>
      <w:r>
        <w:rPr>
          <w:rFonts w:ascii="Calibri" w:cs="Calibri" w:eastAsia="Calibri" w:hAnsi="Calibri"/>
          <w:i w:val="false"/>
          <w:iCs w:val="false"/>
          <w:color w:val="000000"/>
          <w:sz w:val="21"/>
          <w:szCs w:val="21"/>
        </w:rPr>
        <w:t xml:space="preserve">Economic health in 2020 was severely damaged. Unemployment rose from 5.6% in February to 13.7% in May, the highest rate since comparable data began in 1976, and mid-year IMF projections put the annual GDP decline at 8.4% — worse than the outcome, which is itself a marketplace risk, because ITrustU was planning against forecasts that proved overly pessimistic.</w:t>
      </w:r>
    </w:p>
    <w:p>
      <w:pPr>
        <w:spacing w:after="130" w:line="276"/>
        <w:jc w:val="both"/>
      </w:pPr>
      <w:r>
        <w:rPr>
          <w:rFonts w:ascii="Calibri" w:cs="Calibri" w:eastAsia="Calibri" w:hAnsi="Calibri"/>
          <w:i w:val="false"/>
          <w:iCs w:val="false"/>
          <w:color w:val="000000"/>
          <w:sz w:val="21"/>
          <w:szCs w:val="21"/>
        </w:rPr>
        <w:t xml:space="preserve">Political stability, by contrast, held. Canadian institutions functioned throughout, and federal income support directly preserved households’ ability to keep paying premiums — an unusual case in which state intervention materially reduced an insurer’s lapse risk rather than adding to it. ITrustU is also domestically concentrated, with no exposure to unstable foreign jurisdictions; its only meaningful cross-border exposure runs through travel insurance, which had already collapsed for separate reasons.</w:t>
      </w:r>
    </w:p>
    <w:p>
      <w:pPr>
        <w:spacing w:after="130" w:line="276"/>
        <w:jc w:val="both"/>
      </w:pPr>
      <w:r>
        <w:rPr>
          <w:rFonts w:ascii="Calibri" w:cs="Calibri" w:eastAsia="Calibri" w:hAnsi="Calibri"/>
          <w:b/>
          <w:bCs/>
          <w:i w:val="false"/>
          <w:iCs w:val="false"/>
          <w:color w:val="000000"/>
          <w:sz w:val="21"/>
          <w:szCs w:val="21"/>
        </w:rPr>
        <w:t xml:space="preserve">Why this is deliberately scored 3. </w:t>
      </w:r>
      <w:r>
        <w:rPr>
          <w:rFonts w:ascii="Calibri" w:cs="Calibri" w:eastAsia="Calibri" w:hAnsi="Calibri"/>
          <w:b w:val="false"/>
          <w:bCs w:val="false"/>
          <w:i w:val="false"/>
          <w:iCs w:val="false"/>
          <w:color w:val="000000"/>
          <w:sz w:val="21"/>
          <w:szCs w:val="21"/>
        </w:rPr>
        <w:t xml:space="preserve">The economic shock was severe but time-limited and heavily buffered, and the political-stability half of the criterion scores close to zero for a domestic Canadian insurer. Scoring this line 5 would overstate ITrustU’s exposure relative to an insurer operating in a genuinely unstable jurisdiction, and would cost the index the ability to discriminate between the two.</w:t>
      </w:r>
    </w:p>
    <w:p>
      <w:pPr>
        <w:spacing w:after="110" w:before="260"/>
      </w:pPr>
      <w:r>
        <w:rPr>
          <w:rFonts w:ascii="Calibri" w:cs="Calibri" w:eastAsia="Calibri" w:hAnsi="Calibri"/>
          <w:b/>
          <w:bCs/>
          <w:color w:val="2E5E8C"/>
          <w:sz w:val="24"/>
          <w:szCs w:val="24"/>
        </w:rPr>
        <w:t xml:space="preserve">4.4  Complex supply chain and/or unpredictable raw materials costs — 4</w:t>
      </w:r>
    </w:p>
    <w:p>
      <w:pPr>
        <w:spacing w:after="130" w:line="276"/>
        <w:jc w:val="both"/>
      </w:pPr>
      <w:r>
        <w:rPr>
          <w:rFonts w:ascii="Calibri" w:cs="Calibri" w:eastAsia="Calibri" w:hAnsi="Calibri"/>
          <w:i w:val="false"/>
          <w:iCs w:val="false"/>
          <w:color w:val="000000"/>
          <w:sz w:val="21"/>
          <w:szCs w:val="21"/>
        </w:rPr>
        <w:t xml:space="preserve">An insurer has no raw materials in the manufacturing sense, so this line should be read as two things: dependency on third-party services, and the cost of settling claims in kind. Read that way the exposure is high, and reading it literally would wrongly score it near zero.</w:t>
      </w:r>
    </w:p>
    <w:p>
      <w:pPr>
        <w:spacing w:after="130" w:line="276"/>
        <w:jc w:val="both"/>
      </w:pPr>
      <w:r>
        <w:rPr>
          <w:rFonts w:ascii="Calibri" w:cs="Calibri" w:eastAsia="Calibri" w:hAnsi="Calibri"/>
          <w:i w:val="false"/>
          <w:iCs w:val="false"/>
          <w:color w:val="000000"/>
          <w:sz w:val="21"/>
          <w:szCs w:val="21"/>
        </w:rPr>
        <w:t xml:space="preserve">ITrustU’s listed third parties — ISP, cloud and backup provider, web hosting company, security consultants, shredding, printing, mailing and legal services — were stressed simultaneously in 2020, and several are single-vendor. Two are more serious than they appear. The ISP and cloud provider became the entire operating substrate the moment staff moved home; an outage halts sales, claims and service at once rather than degrading them. Shredding and mailing are not conveniences but compliance obligations, covering secure destruction of personal information and delivery of legally required policy documents, so disruption there creates regulatory exposure rather than inconvenience.</w:t>
      </w:r>
    </w:p>
    <w:p>
      <w:pPr>
        <w:spacing w:after="130" w:line="276"/>
        <w:jc w:val="both"/>
      </w:pPr>
      <w:r>
        <w:rPr>
          <w:rFonts w:ascii="Calibri" w:cs="Calibri" w:eastAsia="Calibri" w:hAnsi="Calibri"/>
          <w:i w:val="false"/>
          <w:iCs w:val="false"/>
          <w:color w:val="000000"/>
          <w:sz w:val="21"/>
          <w:szCs w:val="21"/>
        </w:rPr>
        <w:t xml:space="preserve">On the claims side, the settlement chain was directly disrupted: repair capacity and on-site property inspection were restricted, lengthening cycle times, while construction input costs rose, inflating property claim severity on policies already priced and bound. An insurer cannot reprice a mid-term policy against input inflation, so that cost lands entirely on the loss ratio. Scored 4 rather than 5 because vendor substitution is possible over a longer horizon.</w:t>
      </w:r>
    </w:p>
    <w:p>
      <w:pPr>
        <w:spacing w:after="160" w:before="320"/>
      </w:pPr>
      <w:r>
        <w:rPr>
          <w:rFonts w:ascii="Calibri" w:cs="Calibri" w:eastAsia="Calibri" w:hAnsi="Calibri"/>
          <w:b/>
          <w:bCs/>
          <w:color w:val="1F3864"/>
          <w:sz w:val="30"/>
          <w:szCs w:val="30"/>
        </w:rPr>
        <w:t xml:space="preserve">4.  Marketplace analysis</w:t>
      </w:r>
    </w:p>
    <w:p>
      <w:pPr>
        <w:spacing w:after="110" w:before="260"/>
      </w:pPr>
      <w:r>
        <w:rPr>
          <w:rFonts w:ascii="Calibri" w:cs="Calibri" w:eastAsia="Calibri" w:hAnsi="Calibri"/>
          <w:b/>
          <w:bCs/>
          <w:color w:val="2E5E8C"/>
          <w:sz w:val="24"/>
          <w:szCs w:val="24"/>
        </w:rPr>
        <w:t xml:space="preserve">What will this mean to our small business clients?</w:t>
      </w:r>
    </w:p>
    <w:p>
      <w:pPr>
        <w:spacing w:after="130" w:line="276"/>
        <w:jc w:val="both"/>
      </w:pPr>
      <w:r>
        <w:rPr>
          <w:rFonts w:ascii="Calibri" w:cs="Calibri" w:eastAsia="Calibri" w:hAnsi="Calibri"/>
          <w:b/>
          <w:bCs/>
          <w:i w:val="false"/>
          <w:iCs w:val="false"/>
          <w:color w:val="000000"/>
          <w:sz w:val="21"/>
          <w:szCs w:val="21"/>
        </w:rPr>
        <w:t xml:space="preserve">A scoping point the team needs to resolve first. </w:t>
      </w:r>
      <w:r>
        <w:rPr>
          <w:rFonts w:ascii="Calibri" w:cs="Calibri" w:eastAsia="Calibri" w:hAnsi="Calibri"/>
          <w:b w:val="false"/>
          <w:bCs w:val="false"/>
          <w:i w:val="false"/>
          <w:iCs w:val="false"/>
          <w:color w:val="000000"/>
          <w:sz w:val="21"/>
          <w:szCs w:val="21"/>
        </w:rPr>
        <w:t xml:space="preserve">ITrustU’s stated product list is entirely personal lines. If ITrustU does not in fact write commercial policies, small business owners are clients as individuals, and the exposure runs through their household income rather than their commercial cover. This should be confirmed before the section is finalised, because it changes the answer materially.</w:t>
      </w:r>
    </w:p>
    <w:p>
      <w:pPr>
        <w:spacing w:after="130" w:line="276"/>
        <w:jc w:val="both"/>
      </w:pPr>
      <w:r>
        <w:rPr>
          <w:rFonts w:ascii="Calibri" w:cs="Calibri" w:eastAsia="Calibri" w:hAnsi="Calibri"/>
          <w:i w:val="false"/>
          <w:iCs w:val="false"/>
          <w:color w:val="000000"/>
          <w:sz w:val="21"/>
          <w:szCs w:val="21"/>
        </w:rPr>
        <w:t xml:space="preserve">On either reading the exposure is real. The CFIB estimated that 181,000 owners were seriously considering closing, within a projected range of 71,000 to 222,000 closures, and Statistics Canada recorded roughly 58,000 active businesses lost during 2020. For ITrustU this converts into lapse and cancellation on policies held by owner-operators whose income stopped, requests for payment deferral, downgrading to minimum statutory auto coverage, and reduced new business from a segment with no disposable income.</w:t>
      </w:r>
    </w:p>
    <w:p>
      <w:pPr>
        <w:spacing w:after="130" w:line="276"/>
        <w:jc w:val="both"/>
      </w:pPr>
      <w:r>
        <w:rPr>
          <w:rFonts w:ascii="Calibri" w:cs="Calibri" w:eastAsia="Calibri" w:hAnsi="Calibri"/>
          <w:i w:val="false"/>
          <w:iCs w:val="false"/>
          <w:color w:val="000000"/>
          <w:sz w:val="21"/>
          <w:szCs w:val="21"/>
        </w:rPr>
        <w:t xml:space="preserve">If ITrustU does write commercial lines, add business interruption exposure. Most business interruption wordings require physical damage to trigger, so pandemic claims were largely declined — which makes this a reputational and litigation exposure rather than a claims-cost one, and one that should be cross-referenced with the reputation component.</w:t>
      </w:r>
    </w:p>
    <w:p>
      <w:pPr>
        <w:spacing w:after="110" w:before="260"/>
      </w:pPr>
      <w:r>
        <w:rPr>
          <w:rFonts w:ascii="Calibri" w:cs="Calibri" w:eastAsia="Calibri" w:hAnsi="Calibri"/>
          <w:b/>
          <w:bCs/>
          <w:color w:val="2E5E8C"/>
          <w:sz w:val="24"/>
          <w:szCs w:val="24"/>
        </w:rPr>
        <w:t xml:space="preserve">How does our portfolio rebalance?</w:t>
      </w:r>
    </w:p>
    <w:p>
      <w:pPr>
        <w:spacing w:after="130" w:line="276"/>
        <w:jc w:val="both"/>
      </w:pPr>
      <w:r>
        <w:rPr>
          <w:rFonts w:ascii="Calibri" w:cs="Calibri" w:eastAsia="Calibri" w:hAnsi="Calibri"/>
          <w:i w:val="false"/>
          <w:iCs w:val="false"/>
          <w:color w:val="000000"/>
          <w:sz w:val="21"/>
          <w:szCs w:val="21"/>
        </w:rPr>
        <w:t xml:space="preserve">Two portfolios rebalance, and they should not be conflated. The investment portfolio faces reinvestment of maturing fixed income at materially lower coupons with the policy rate at 0.25%, compressing margin on long-dated life and pension liabilities. The three available responses — accept lower returns, extend duration, or move down the credit curve — each trade one risk for another, and the third converts a marketplace risk into a credit risk that belongs on the financial register rather than this one.</w:t>
      </w:r>
    </w:p>
    <w:p>
      <w:pPr>
        <w:spacing w:after="130" w:line="276"/>
        <w:jc w:val="both"/>
      </w:pPr>
      <w:r>
        <w:rPr>
          <w:rFonts w:ascii="Calibri" w:cs="Calibri" w:eastAsia="Calibri" w:hAnsi="Calibri"/>
          <w:i w:val="false"/>
          <w:iCs w:val="false"/>
          <w:color w:val="000000"/>
          <w:sz w:val="21"/>
          <w:szCs w:val="21"/>
        </w:rPr>
        <w:t xml:space="preserve">The product portfolio shifts weight away from travel, which is near zero, and away from auto premium volume through relief, coverage downgrades and usage-based discounts, toward property and life. The net effect is a book less diversified by product than it was in 2019 and more dependent on the performance of two lines.</w:t>
      </w:r>
    </w:p>
    <w:p>
      <w:pPr>
        <w:spacing w:after="110" w:before="260"/>
      </w:pPr>
      <w:r>
        <w:rPr>
          <w:rFonts w:ascii="Calibri" w:cs="Calibri" w:eastAsia="Calibri" w:hAnsi="Calibri"/>
          <w:b/>
          <w:bCs/>
          <w:color w:val="2E5E8C"/>
          <w:sz w:val="24"/>
          <w:szCs w:val="24"/>
        </w:rPr>
        <w:t xml:space="preserve">Which products decline in demand, which increase?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00"/>
        <w:gridCol w:w="1700"/>
        <w:gridCol w:w="5560"/>
      </w:tblGrid>
      <w:tr>
        <w:trPr>
          <w:tblHeader/>
        </w:trP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Product line</w:t>
            </w:r>
          </w:p>
        </w:tc>
        <w:tc>
          <w:tcPr>
            <w:tcW w:type="dxa" w:w="1700"/>
            <w:tcMar>
              <w:top w:type="dxa" w:w="80"/>
              <w:left w:type="dxa" w:w="110"/>
              <w:bottom w:type="dxa" w:w="80"/>
              <w:right w:type="dxa" w:w="110"/>
            </w:tcMar>
          </w:tcPr>
          <w:p>
            <w:pPr>
              <w:jc w:val="left"/>
            </w:pPr>
            <w:r>
              <w:rPr>
                <w:rFonts w:ascii="Calibri" w:cs="Calibri" w:eastAsia="Calibri" w:hAnsi="Calibri"/>
                <w:b/>
                <w:bCs/>
                <w:color w:val="000000"/>
                <w:sz w:val="20"/>
                <w:szCs w:val="20"/>
              </w:rPr>
              <w:t xml:space="preserve">Direction</w:t>
            </w:r>
          </w:p>
        </w:tc>
        <w:tc>
          <w:tcPr>
            <w:tcW w:type="dxa" w:w="5560"/>
            <w:tcMar>
              <w:top w:type="dxa" w:w="80"/>
              <w:left w:type="dxa" w:w="110"/>
              <w:bottom w:type="dxa" w:w="80"/>
              <w:right w:type="dxa" w:w="110"/>
            </w:tcMar>
          </w:tcPr>
          <w:p>
            <w:pPr>
              <w:jc w:val="left"/>
            </w:pPr>
            <w:r>
              <w:rPr>
                <w:rFonts w:ascii="Calibri" w:cs="Calibri" w:eastAsia="Calibri" w:hAnsi="Calibri"/>
                <w:b/>
                <w:bCs/>
                <w:color w:val="000000"/>
                <w:sz w:val="20"/>
                <w:szCs w:val="20"/>
              </w:rPr>
              <w:t xml:space="preserve">Basis</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Travel</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Sharp decline</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Industry policy sales fell roughly 60% in 2020, an estimated $504M premium loss against a 2019 base of 9.6 million policies and about $983M in premium. Compounded by refund obligations on cancelled trips.</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Car</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Revenue decline</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Claims frequency fell, improving the loss ratio, but Ontario insurers returned about $992M in relief by July 2020 and driver interest in usage-based insurance rose 43% year over year. Revenue per policy falls even as profitability improves.</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Life</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Demand up, distribution constrained</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Mortality salience raised interest, but most Canadian insurers surveyed reported a fall in face-to-face applications and responded by waiving paramedical requirements rather than building digital channels.</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Home / condo / renter</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Stable to increasing</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More time at home raises occupancy-driven perils and creates home-office coverage questions on policies written for residential use only.</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Motorcycle / RV</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Likely increase</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Domestic road travel substituted for air travel and RV interest rose through the pandemic. Directional only — the supporting Canadian sales figures available are from 2021.</w:t>
            </w:r>
          </w:p>
        </w:tc>
      </w:tr>
      <w:tr>
        <w:tc>
          <w:tcPr>
            <w:tcW w:type="dxa" w:w="2100"/>
            <w:tcMar>
              <w:top w:type="dxa" w:w="80"/>
              <w:left w:type="dxa" w:w="110"/>
              <w:bottom w:type="dxa" w:w="80"/>
              <w:right w:type="dxa" w:w="110"/>
            </w:tcMar>
          </w:tcPr>
          <w:p>
            <w:pPr>
              <w:jc w:val="left"/>
            </w:pPr>
            <w:r>
              <w:rPr>
                <w:rFonts w:ascii="Calibri" w:cs="Calibri" w:eastAsia="Calibri" w:hAnsi="Calibri"/>
                <w:b/>
                <w:bCs/>
                <w:color w:val="000000"/>
                <w:sz w:val="20"/>
                <w:szCs w:val="20"/>
              </w:rPr>
              <w:t xml:space="preserve">Pension plans</w:t>
            </w:r>
          </w:p>
        </w:tc>
        <w:tc>
          <w:tcPr>
            <w:tcW w:type="dxa" w:w="170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Uncertain</w:t>
            </w:r>
          </w:p>
        </w:tc>
        <w:tc>
          <w:tcPr>
            <w:tcW w:type="dxa" w:w="5560"/>
            <w:tcMar>
              <w:top w:type="dxa" w:w="80"/>
              <w:left w:type="dxa" w:w="110"/>
              <w:bottom w:type="dxa" w:w="80"/>
              <w:right w:type="dxa" w:w="110"/>
            </w:tcMar>
          </w:tcPr>
          <w:p>
            <w:pPr>
              <w:jc w:val="left"/>
            </w:pPr>
            <w:r>
              <w:rPr>
                <w:rFonts w:ascii="Calibri" w:cs="Calibri" w:eastAsia="Calibri" w:hAnsi="Calibri"/>
                <w:b w:val="false"/>
                <w:bCs w:val="false"/>
                <w:color w:val="000000"/>
                <w:sz w:val="19"/>
                <w:szCs w:val="19"/>
              </w:rPr>
              <w:t xml:space="preserve">Market volatility and income disruption suppress contributions, while low rates worsen the funding position of what is already sold.</w:t>
            </w:r>
          </w:p>
        </w:tc>
      </w:tr>
    </w:tbl>
    <w:p>
      <w:pPr>
        <w:spacing w:after="110" w:before="260"/>
      </w:pPr>
      <w:r>
        <w:rPr>
          <w:rFonts w:ascii="Calibri" w:cs="Calibri" w:eastAsia="Calibri" w:hAnsi="Calibri"/>
          <w:b/>
          <w:bCs/>
          <w:color w:val="2E5E8C"/>
          <w:sz w:val="24"/>
          <w:szCs w:val="24"/>
        </w:rPr>
        <w:t xml:space="preserve">How can we change our technology to adapt to the COVID lifestyle?</w:t>
      </w:r>
    </w:p>
    <w:p>
      <w:pPr>
        <w:pStyle w:val="ListParagraph"/>
        <w:numPr>
          <w:ilvl w:val="0"/>
          <w:numId w:val="1"/>
        </w:numPr>
        <w:spacing w:after="80" w:line="264"/>
      </w:pPr>
      <w:r>
        <w:rPr>
          <w:rFonts w:ascii="Calibri" w:cs="Calibri" w:eastAsia="Calibri" w:hAnsi="Calibri"/>
          <w:sz w:val="21"/>
          <w:szCs w:val="21"/>
        </w:rPr>
        <w:t xml:space="preserve">Digital quote-to-bind with e-signature, so that no sale depends on an in-person meeting.</w:t>
      </w:r>
    </w:p>
    <w:p>
      <w:pPr>
        <w:pStyle w:val="ListParagraph"/>
        <w:numPr>
          <w:ilvl w:val="0"/>
          <w:numId w:val="1"/>
        </w:numPr>
        <w:spacing w:after="80" w:line="264"/>
      </w:pPr>
      <w:r>
        <w:rPr>
          <w:rFonts w:ascii="Calibri" w:cs="Calibri" w:eastAsia="Calibri" w:hAnsi="Calibri"/>
          <w:sz w:val="21"/>
          <w:szCs w:val="21"/>
        </w:rPr>
        <w:t xml:space="preserve">Virtual claims handling using photo and video estimating in place of on-site inspection, which also relieves the settlement-chain constraint identified in 4.4.</w:t>
      </w:r>
    </w:p>
    <w:p>
      <w:pPr>
        <w:pStyle w:val="ListParagraph"/>
        <w:numPr>
          <w:ilvl w:val="0"/>
          <w:numId w:val="1"/>
        </w:numPr>
        <w:spacing w:after="80" w:line="264"/>
      </w:pPr>
      <w:r>
        <w:rPr>
          <w:rFonts w:ascii="Calibri" w:cs="Calibri" w:eastAsia="Calibri" w:hAnsi="Calibri"/>
          <w:sz w:val="21"/>
          <w:szCs w:val="21"/>
        </w:rPr>
        <w:t xml:space="preserve">Telematics and usage-based pricing, to retain low-mileage drivers with a structural discount rather than repeated one-off rebates.</w:t>
      </w:r>
    </w:p>
    <w:p>
      <w:pPr>
        <w:pStyle w:val="ListParagraph"/>
        <w:numPr>
          <w:ilvl w:val="0"/>
          <w:numId w:val="1"/>
        </w:numPr>
        <w:spacing w:after="80" w:line="264"/>
      </w:pPr>
      <w:r>
        <w:rPr>
          <w:rFonts w:ascii="Calibri" w:cs="Calibri" w:eastAsia="Calibri" w:hAnsi="Calibri"/>
          <w:sz w:val="21"/>
          <w:szCs w:val="21"/>
        </w:rPr>
        <w:t xml:space="preserve">Self-service and chatbot capability on the existing mobile app, to absorb the surge in customer interaction without adding headcount.</w:t>
      </w:r>
    </w:p>
    <w:p>
      <w:pPr>
        <w:pStyle w:val="ListParagraph"/>
        <w:numPr>
          <w:ilvl w:val="0"/>
          <w:numId w:val="1"/>
        </w:numPr>
        <w:spacing w:after="80" w:line="264"/>
      </w:pPr>
      <w:r>
        <w:rPr>
          <w:rFonts w:ascii="Calibri" w:cs="Calibri" w:eastAsia="Calibri" w:hAnsi="Calibri"/>
          <w:sz w:val="21"/>
          <w:szCs w:val="21"/>
        </w:rPr>
        <w:t xml:space="preserve">Accelerated or non-medical underwriting for life, so that the paramedical bottleneck does not stall sales when exams cannot be conducted.</w:t>
      </w:r>
    </w:p>
    <w:p>
      <w:pPr>
        <w:spacing w:after="130" w:line="276"/>
        <w:jc w:val="both"/>
      </w:pPr>
      <w:r>
        <w:rPr>
          <w:rFonts w:ascii="Calibri" w:cs="Calibri" w:eastAsia="Calibri" w:hAnsi="Calibri"/>
          <w:b/>
          <w:bCs/>
          <w:i w:val="false"/>
          <w:iCs w:val="false"/>
          <w:color w:val="000000"/>
          <w:sz w:val="21"/>
          <w:szCs w:val="21"/>
        </w:rPr>
        <w:t xml:space="preserve">Dependency to flag. </w:t>
      </w:r>
      <w:r>
        <w:rPr>
          <w:rFonts w:ascii="Calibri" w:cs="Calibri" w:eastAsia="Calibri" w:hAnsi="Calibri"/>
          <w:b w:val="false"/>
          <w:bCs w:val="false"/>
          <w:i w:val="false"/>
          <w:iCs w:val="false"/>
          <w:color w:val="000000"/>
          <w:sz w:val="21"/>
          <w:szCs w:val="21"/>
        </w:rPr>
        <w:t xml:space="preserve">With roughly 50 desktops, a couple of laptops and on-site servers, remote delivery of all of the above rests on the cloud and ISP relationships already identified as a concentration risk in 4.4. This overlaps directly with the infrastructure component and should be coordinated with Sam rather than scoped independently, so that it is neither double-counted nor dropped between the two sections.</w:t>
      </w:r>
    </w:p>
    <w:p>
      <w:pPr>
        <w:spacing w:after="110" w:before="260"/>
      </w:pPr>
      <w:r>
        <w:rPr>
          <w:rFonts w:ascii="Calibri" w:cs="Calibri" w:eastAsia="Calibri" w:hAnsi="Calibri"/>
          <w:b/>
          <w:bCs/>
          <w:color w:val="2E5E8C"/>
          <w:sz w:val="24"/>
          <w:szCs w:val="24"/>
        </w:rPr>
        <w:t xml:space="preserve">How did the change in the economy impact our business?</w:t>
      </w:r>
    </w:p>
    <w:p>
      <w:pPr>
        <w:spacing w:after="130" w:line="276"/>
        <w:jc w:val="both"/>
      </w:pPr>
      <w:r>
        <w:rPr>
          <w:rFonts w:ascii="Calibri" w:cs="Calibri" w:eastAsia="Calibri" w:hAnsi="Calibri"/>
          <w:i w:val="false"/>
          <w:iCs w:val="false"/>
          <w:color w:val="000000"/>
          <w:sz w:val="21"/>
          <w:szCs w:val="21"/>
        </w:rPr>
        <w:t xml:space="preserve">Unemployment peaked at 13.7% in May 2020, the highest since 1976, and the policy rate was cut to 0.25%. For ITrustU the consequences are compressed investment income, affordability pressure across the whole book, and reduced new business volume.</w:t>
      </w:r>
    </w:p>
    <w:p>
      <w:pPr>
        <w:spacing w:after="130" w:line="276"/>
        <w:jc w:val="both"/>
      </w:pPr>
      <w:r>
        <w:rPr>
          <w:rFonts w:ascii="Calibri" w:cs="Calibri" w:eastAsia="Calibri" w:hAnsi="Calibri"/>
          <w:b/>
          <w:bCs/>
          <w:i w:val="false"/>
          <w:iCs w:val="false"/>
          <w:color w:val="000000"/>
          <w:sz w:val="21"/>
          <w:szCs w:val="21"/>
        </w:rPr>
        <w:t xml:space="preserve">The important nuance is that 2020 flattered the underwriting result while damaging the earnings base underneath it. </w:t>
      </w:r>
      <w:r>
        <w:rPr>
          <w:rFonts w:ascii="Calibri" w:cs="Calibri" w:eastAsia="Calibri" w:hAnsi="Calibri"/>
          <w:b w:val="false"/>
          <w:bCs w:val="false"/>
          <w:i w:val="false"/>
          <w:iCs w:val="false"/>
          <w:color w:val="000000"/>
          <w:sz w:val="21"/>
          <w:szCs w:val="21"/>
        </w:rPr>
        <w:t xml:space="preserve">The industry posted a combined ratio of 94.6% against 99.8% in 2019 and net income of $6.5 billion against $4.2 billion, because auto claims frequency fell further than auto premium did. A reader who looks only at the underwriting result will conclude the pandemic was good for insurers. That conclusion does not survive contact with the investment-yield problem, and the risk agenda should say so explicitly.</w:t>
      </w:r>
    </w:p>
    <w:p>
      <w:pPr>
        <w:spacing w:after="110" w:before="260"/>
      </w:pPr>
      <w:r>
        <w:rPr>
          <w:rFonts w:ascii="Calibri" w:cs="Calibri" w:eastAsia="Calibri" w:hAnsi="Calibri"/>
          <w:b/>
          <w:bCs/>
          <w:color w:val="2E5E8C"/>
          <w:sz w:val="24"/>
          <w:szCs w:val="24"/>
        </w:rPr>
        <w:t xml:space="preserve">How have our clients been impacted?</w:t>
      </w:r>
    </w:p>
    <w:p>
      <w:pPr>
        <w:pStyle w:val="ListParagraph"/>
        <w:numPr>
          <w:ilvl w:val="0"/>
          <w:numId w:val="1"/>
        </w:numPr>
        <w:spacing w:after="80" w:line="264"/>
      </w:pPr>
      <w:r>
        <w:rPr>
          <w:rFonts w:ascii="Calibri" w:cs="Calibri" w:eastAsia="Calibri" w:hAnsi="Calibri"/>
          <w:sz w:val="21"/>
          <w:szCs w:val="21"/>
        </w:rPr>
        <w:t xml:space="preserve">Income. Job loss and reduced hours create affordability pressure, deferral requests and lapse risk across every line.</w:t>
      </w:r>
    </w:p>
    <w:p>
      <w:pPr>
        <w:pStyle w:val="ListParagraph"/>
        <w:numPr>
          <w:ilvl w:val="0"/>
          <w:numId w:val="1"/>
        </w:numPr>
        <w:spacing w:after="80" w:line="264"/>
      </w:pPr>
      <w:r>
        <w:rPr>
          <w:rFonts w:ascii="Calibri" w:cs="Calibri" w:eastAsia="Calibri" w:hAnsi="Calibri"/>
          <w:sz w:val="21"/>
          <w:szCs w:val="21"/>
        </w:rPr>
        <w:t xml:space="preserve">Mobility. Driving collapsed, and with it the perceived fairness of an unchanged auto premium. Ontario insurers responded with roughly $992 million in relief by July 2020, reaching about 93% of 6.6 million policies; clients who do not receive comparable treatment from ITrustU will notice.</w:t>
      </w:r>
    </w:p>
    <w:p>
      <w:pPr>
        <w:pStyle w:val="ListParagraph"/>
        <w:numPr>
          <w:ilvl w:val="0"/>
          <w:numId w:val="1"/>
        </w:numPr>
        <w:spacing w:after="80" w:line="264"/>
      </w:pPr>
      <w:r>
        <w:rPr>
          <w:rFonts w:ascii="Calibri" w:cs="Calibri" w:eastAsia="Calibri" w:hAnsi="Calibri"/>
          <w:sz w:val="21"/>
          <w:szCs w:val="21"/>
        </w:rPr>
        <w:t xml:space="preserve">Travel. Cancelled trips concentrated claims and refund demands into a short window, at the same moment that new travel premium stopped arriving.</w:t>
      </w:r>
    </w:p>
    <w:p>
      <w:pPr>
        <w:pStyle w:val="ListParagraph"/>
        <w:numPr>
          <w:ilvl w:val="0"/>
          <w:numId w:val="1"/>
        </w:numPr>
        <w:spacing w:after="80" w:line="264"/>
      </w:pPr>
      <w:r>
        <w:rPr>
          <w:rFonts w:ascii="Calibri" w:cs="Calibri" w:eastAsia="Calibri" w:hAnsi="Calibri"/>
          <w:sz w:val="21"/>
          <w:szCs w:val="21"/>
        </w:rPr>
        <w:t xml:space="preserve">Home. More time at home changes the residential risk profile and raises coverage questions about home-based work on policies written for residential use only.</w:t>
      </w:r>
    </w:p>
    <w:p>
      <w:pPr>
        <w:pStyle w:val="ListParagraph"/>
        <w:numPr>
          <w:ilvl w:val="0"/>
          <w:numId w:val="1"/>
        </w:numPr>
        <w:spacing w:after="80" w:line="264"/>
      </w:pPr>
      <w:r>
        <w:rPr>
          <w:rFonts w:ascii="Calibri" w:cs="Calibri" w:eastAsia="Calibri" w:hAnsi="Calibri"/>
          <w:sz w:val="21"/>
          <w:szCs w:val="21"/>
        </w:rPr>
        <w:t xml:space="preserve">Health. Heightened mortality awareness raised interest in life cover, but that interest converts to sales only where the application process works without a face-to-face meeting.</w:t>
      </w:r>
    </w:p>
    <w:p>
      <w:pPr>
        <w:pStyle w:val="ListParagraph"/>
        <w:numPr>
          <w:ilvl w:val="0"/>
          <w:numId w:val="1"/>
        </w:numPr>
        <w:spacing w:after="80" w:line="264"/>
      </w:pPr>
      <w:r>
        <w:rPr>
          <w:rFonts w:ascii="Calibri" w:cs="Calibri" w:eastAsia="Calibri" w:hAnsi="Calibri"/>
          <w:sz w:val="21"/>
          <w:szCs w:val="21"/>
        </w:rPr>
        <w:t xml:space="preserve">Service expectation. Clients now expect to transact entirely remotely, and will judge ITrustU against insurers who could already do so.</w:t>
      </w:r>
    </w:p>
    <w:p>
      <w:pPr>
        <w:spacing w:after="160" w:before="320"/>
      </w:pPr>
      <w:r>
        <w:rPr>
          <w:rFonts w:ascii="Calibri" w:cs="Calibri" w:eastAsia="Calibri" w:hAnsi="Calibri"/>
          <w:b/>
          <w:bCs/>
          <w:color w:val="1F3864"/>
          <w:sz w:val="30"/>
          <w:szCs w:val="30"/>
        </w:rPr>
        <w:t xml:space="preserve">5.  Assumptions and open items for the team</w:t>
      </w:r>
    </w:p>
    <w:p>
      <w:pPr>
        <w:spacing w:after="130" w:line="276"/>
        <w:jc w:val="both"/>
      </w:pPr>
      <w:r>
        <w:rPr>
          <w:rFonts w:ascii="Calibri" w:cs="Calibri" w:eastAsia="Calibri" w:hAnsi="Calibri"/>
          <w:i w:val="false"/>
          <w:iCs w:val="false"/>
          <w:color w:val="000000"/>
          <w:sz w:val="21"/>
          <w:szCs w:val="21"/>
        </w:rPr>
        <w:t xml:space="preserve">These affect the marketplace section but cannot be resolved from the assumptions document alone.</w:t>
      </w:r>
    </w:p>
    <w:p>
      <w:pPr>
        <w:pStyle w:val="ListParagraph"/>
        <w:numPr>
          <w:ilvl w:val="0"/>
          <w:numId w:val="1"/>
        </w:numPr>
        <w:spacing w:after="80" w:line="264"/>
      </w:pPr>
      <w:r>
        <w:rPr>
          <w:rFonts w:ascii="Calibri" w:cs="Calibri" w:eastAsia="Calibri" w:hAnsi="Calibri"/>
          <w:sz w:val="21"/>
          <w:szCs w:val="21"/>
        </w:rPr>
        <w:t xml:space="preserve">Confirm whether ITrustU writes commercial lines. This materially changes section 4.1 and determines whether business interruption exposure belongs in the report.</w:t>
      </w:r>
    </w:p>
    <w:p>
      <w:pPr>
        <w:pStyle w:val="ListParagraph"/>
        <w:numPr>
          <w:ilvl w:val="0"/>
          <w:numId w:val="1"/>
        </w:numPr>
        <w:spacing w:after="80" w:line="264"/>
      </w:pPr>
      <w:r>
        <w:rPr>
          <w:rFonts w:ascii="Calibri" w:cs="Calibri" w:eastAsia="Calibri" w:hAnsi="Calibri"/>
          <w:sz w:val="21"/>
          <w:szCs w:val="21"/>
        </w:rPr>
        <w:t xml:space="preserve">Confirm the geographic footprint. The FSRA relief figures used above are Ontario-specific; if ITrustU writes nationally, the auto relief exposure needs restating.</w:t>
      </w:r>
    </w:p>
    <w:p>
      <w:pPr>
        <w:pStyle w:val="ListParagraph"/>
        <w:numPr>
          <w:ilvl w:val="0"/>
          <w:numId w:val="1"/>
        </w:numPr>
        <w:spacing w:after="80" w:line="264"/>
      </w:pPr>
      <w:r>
        <w:rPr>
          <w:rFonts w:ascii="Calibri" w:cs="Calibri" w:eastAsia="Calibri" w:hAnsi="Calibri"/>
          <w:sz w:val="21"/>
          <w:szCs w:val="21"/>
        </w:rPr>
        <w:t xml:space="preserve">Calibrate scoring with Nathan, Sam and Lester so that a 4 means the same thing in all four components. Without this, one section reads harsh and another soft and the overall risk profile is distorted.</w:t>
      </w:r>
    </w:p>
    <w:p>
      <w:pPr>
        <w:pStyle w:val="ListParagraph"/>
        <w:numPr>
          <w:ilvl w:val="0"/>
          <w:numId w:val="1"/>
        </w:numPr>
        <w:spacing w:after="80" w:line="264"/>
      </w:pPr>
      <w:r>
        <w:rPr>
          <w:rFonts w:ascii="Calibri" w:cs="Calibri" w:eastAsia="Calibri" w:hAnsi="Calibri"/>
          <w:sz w:val="21"/>
          <w:szCs w:val="21"/>
        </w:rPr>
        <w:t xml:space="preserve">Resolve the overlap on cloud and ISP concentration, which appears in both marketplace 4.4 and the infrastructure component.</w:t>
      </w:r>
    </w:p>
    <w:p>
      <w:pPr>
        <w:pStyle w:val="ListParagraph"/>
        <w:numPr>
          <w:ilvl w:val="0"/>
          <w:numId w:val="1"/>
        </w:numPr>
        <w:spacing w:after="80" w:line="264"/>
      </w:pPr>
      <w:r>
        <w:rPr>
          <w:rFonts w:ascii="Calibri" w:cs="Calibri" w:eastAsia="Calibri" w:hAnsi="Calibri"/>
          <w:sz w:val="21"/>
          <w:szCs w:val="21"/>
        </w:rPr>
        <w:t xml:space="preserve">Industry-level figures stand in for ITrustU’s own results throughout. If the team has been given ITrustU financials, the scores should be revisited against them.</w:t>
      </w:r>
    </w:p>
    <w:p>
      <w:pPr>
        <w:spacing w:after="160" w:before="320"/>
      </w:pPr>
      <w:r>
        <w:rPr>
          <w:rFonts w:ascii="Calibri" w:cs="Calibri" w:eastAsia="Calibri" w:hAnsi="Calibri"/>
          <w:b/>
          <w:bCs/>
          <w:color w:val="1F3864"/>
          <w:sz w:val="30"/>
          <w:szCs w:val="30"/>
        </w:rPr>
        <w:t xml:space="preserve">References</w:t>
      </w:r>
    </w:p>
    <w:p>
      <w:pPr>
        <w:spacing w:after="110" w:line="252"/>
        <w:ind w:left="360" w:hanging="360"/>
      </w:pPr>
      <w:r>
        <w:rPr>
          <w:rFonts w:ascii="Calibri" w:cs="Calibri" w:eastAsia="Calibri" w:hAnsi="Calibri"/>
          <w:sz w:val="19"/>
          <w:szCs w:val="19"/>
        </w:rPr>
        <w:t xml:space="preserve">Bank of Canada. (2020, March 27). Bank of Canada lowers overnight rate target to ¼ percent. https://www.bankofcanada.ca/2020/03/press-release-2020-03-27/</w:t>
      </w:r>
    </w:p>
    <w:p>
      <w:pPr>
        <w:spacing w:after="110" w:line="252"/>
        <w:ind w:left="360" w:hanging="360"/>
      </w:pPr>
      <w:r>
        <w:rPr>
          <w:rFonts w:ascii="Calibri" w:cs="Calibri" w:eastAsia="Calibri" w:hAnsi="Calibri"/>
          <w:sz w:val="19"/>
          <w:szCs w:val="19"/>
        </w:rPr>
        <w:t xml:space="preserve">Canadian Federation of Independent Business. (2021, January). 181,000 Canadian small business owners now contemplating pulling the plug. https://www.cfib-fcei.ca/en/media/news-releases/181000-canadian-small-business-owners-now-contemplating-pulling-plug-putting-24</w:t>
      </w:r>
    </w:p>
    <w:p>
      <w:pPr>
        <w:spacing w:after="110" w:line="252"/>
        <w:ind w:left="360" w:hanging="360"/>
      </w:pPr>
      <w:r>
        <w:rPr>
          <w:rFonts w:ascii="Calibri" w:cs="Calibri" w:eastAsia="Calibri" w:hAnsi="Calibri"/>
          <w:sz w:val="19"/>
          <w:szCs w:val="19"/>
        </w:rPr>
        <w:t xml:space="preserve">Canadian Recreational Vehicle Association. (n.d.). Interest in RVs surges, putting pressure on inventory. https://crva.ca/interest-in-rvs-surges-putting-pressure-on-inventory/</w:t>
      </w:r>
    </w:p>
    <w:p>
      <w:pPr>
        <w:spacing w:after="110" w:line="252"/>
        <w:ind w:left="360" w:hanging="360"/>
      </w:pPr>
      <w:r>
        <w:rPr>
          <w:rFonts w:ascii="Calibri" w:cs="Calibri" w:eastAsia="Calibri" w:hAnsi="Calibri"/>
          <w:sz w:val="19"/>
          <w:szCs w:val="19"/>
        </w:rPr>
        <w:t xml:space="preserve">Financial Services Regulatory Authority of Ontario. (2021). Consumer relief provided by Ontario auto insurers. https://www.fsrao.ca/consumers/auto-insurance/understanding-auto-insurance-rates/consumer-relief-provided-ontario-auto-insurers</w:t>
      </w:r>
    </w:p>
    <w:p>
      <w:pPr>
        <w:spacing w:after="110" w:line="252"/>
        <w:ind w:left="360" w:hanging="360"/>
      </w:pPr>
      <w:r>
        <w:rPr>
          <w:rFonts w:ascii="Calibri" w:cs="Calibri" w:eastAsia="Calibri" w:hAnsi="Calibri"/>
          <w:sz w:val="19"/>
          <w:szCs w:val="19"/>
        </w:rPr>
        <w:t xml:space="preserve">Insurance Business Canada. (2022). Canadian P&amp;C underwriting – what will happen in 2022? https://www.insurancebusinessmag.com/ca/news/breaking-news/canadian-pandc-underwriting--what-will-happen-in-2022-319496.aspx</w:t>
      </w:r>
    </w:p>
    <w:p>
      <w:pPr>
        <w:spacing w:after="110" w:line="252"/>
        <w:ind w:left="360" w:hanging="360"/>
      </w:pPr>
      <w:r>
        <w:rPr>
          <w:rFonts w:ascii="Calibri" w:cs="Calibri" w:eastAsia="Calibri" w:hAnsi="Calibri"/>
          <w:sz w:val="19"/>
          <w:szCs w:val="19"/>
        </w:rPr>
        <w:t xml:space="preserve">International Travel &amp; Health Insurance Journal. (2020). Canadian travel insurance losses crush the market. https://www.itij.com/latest/news/canadian-travel-insurance-losses-crush-market</w:t>
      </w:r>
    </w:p>
    <w:p>
      <w:pPr>
        <w:spacing w:after="110" w:line="252"/>
        <w:ind w:left="360" w:hanging="360"/>
      </w:pPr>
      <w:r>
        <w:rPr>
          <w:rFonts w:ascii="Calibri" w:cs="Calibri" w:eastAsia="Calibri" w:hAnsi="Calibri"/>
          <w:sz w:val="19"/>
          <w:szCs w:val="19"/>
        </w:rPr>
        <w:t xml:space="preserve">LIMRA. (2020). How COVID-19 is affecting life insurance in the U.S. and Canada. https://www.limra.com/en/newsroom/industry-trends/2020/limra-how-covid-19-is-affecting-life-insurance-in-the-u.s.-and-canada/</w:t>
      </w:r>
    </w:p>
    <w:p>
      <w:pPr>
        <w:spacing w:after="110" w:line="252"/>
        <w:ind w:left="360" w:hanging="360"/>
      </w:pPr>
      <w:r>
        <w:rPr>
          <w:rFonts w:ascii="Calibri" w:cs="Calibri" w:eastAsia="Calibri" w:hAnsi="Calibri"/>
          <w:sz w:val="19"/>
          <w:szCs w:val="19"/>
        </w:rPr>
        <w:t xml:space="preserve">LowestRates.ca. (2021). Interest in usage-based car insurance increases by 43% during pandemic. https://www.lowestrates.ca/resource-centre/auto-insurance/usage-based-car-insurance-trends</w:t>
      </w:r>
    </w:p>
    <w:p>
      <w:pPr>
        <w:spacing w:after="110" w:line="252"/>
        <w:ind w:left="360" w:hanging="360"/>
      </w:pPr>
      <w:r>
        <w:rPr>
          <w:rFonts w:ascii="Calibri" w:cs="Calibri" w:eastAsia="Calibri" w:hAnsi="Calibri"/>
          <w:sz w:val="19"/>
          <w:szCs w:val="19"/>
        </w:rPr>
        <w:t xml:space="preserve">Statistics Canada. (2020, June 5). Labour Force Survey, May 2020. https://www150.statcan.gc.ca/n1/daily-quotidien/200605/dq200605a-eng.htm</w:t>
      </w:r>
    </w:p>
    <w:p>
      <w:pPr>
        <w:spacing w:after="110" w:line="252"/>
        <w:ind w:left="360" w:hanging="360"/>
      </w:pPr>
      <w:r>
        <w:rPr>
          <w:rFonts w:ascii="Calibri" w:cs="Calibri" w:eastAsia="Calibri" w:hAnsi="Calibri"/>
          <w:sz w:val="19"/>
          <w:szCs w:val="19"/>
        </w:rPr>
        <w:t xml:space="preserve">Statistics Canada. (2020). Recent developments in the Canadian economy, 2020: COVID-19, third edition. https://www150.statcan.gc.ca/n1/pub/11-626-x/11-626-x2020013-eng.htm</w:t>
      </w:r>
    </w:p>
    <w:sectPr>
      <w:footerReference w:type="default" r:id="rId7"/>
      <w:pgSz w:w="12240" w:h="15840"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7"/>
        <w:szCs w:val="17"/>
      </w:rPr>
      <w:t xml:space="preserve">ITrustU Insurance — Marketplace Risk Assessment  |  </w:t>
    </w:r>
    <w:r>
      <w:rPr>
        <w:rFonts w:ascii="Calibri" w:cs="Calibri" w:eastAsia="Calibri" w:hAnsi="Calibri"/>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2026-09-29T21:57:05.916Z</dcterms:created>
  <dcterms:modified xsi:type="dcterms:W3CDTF">2026-09-29T21:57:05.931Z</dcterms:modified>
</cp:coreProperties>
</file>

<file path=docProps/custom.xml><?xml version="1.0" encoding="utf-8"?>
<Properties xmlns="http://schemas.openxmlformats.org/officeDocument/2006/custom-properties" xmlns:vt="http://schemas.openxmlformats.org/officeDocument/2006/docPropsVTypes"/>
</file>