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67A491" w14:textId="77777777" w:rsidR="00826A1C" w:rsidRDefault="00000000">
      <w:pPr>
        <w:pStyle w:val="Title"/>
      </w:pPr>
      <w:r>
        <w:t>Risk Agenda Coordination Note</w:t>
      </w:r>
    </w:p>
    <w:p w14:paraId="7121261D" w14:textId="77777777" w:rsidR="00826A1C" w:rsidRDefault="00000000">
      <w:pPr>
        <w:pStyle w:val="Subtitle"/>
      </w:pPr>
      <w:r>
        <w:t>For Lester, Nathan, and Urman • From Chris • First draft coordination</w:t>
      </w:r>
    </w:p>
    <w:p w14:paraId="1FC025C4" w14:textId="77777777" w:rsidR="00826A1C" w:rsidRDefault="00000000">
      <w:r>
        <w:t>The Risk Strategy draft sets the direction for our pandemic response. Please use the points below when developing your sections so that the completed Risk Agenda connects objectives, acceptable exposure, resources, and implementation. These are proposed coordination points; your sections should establish the details for team agreement.</w:t>
      </w:r>
    </w:p>
    <w:p w14:paraId="7A57AA9B" w14:textId="77777777" w:rsidR="00826A1C" w:rsidRDefault="00000000">
      <w:pPr>
        <w:pStyle w:val="Heading1"/>
      </w:pPr>
      <w:r>
        <w:t>Lester — Risk Attitude and Appetite</w:t>
      </w:r>
    </w:p>
    <w:p w14:paraId="1038E6EF" w14:textId="77777777" w:rsidR="00826A1C" w:rsidRDefault="00000000">
      <w:r>
        <w:t>Please distinguish low tolerance for customer harm, information exposure, and failures to meet obligations from a willingness to accept controlled implementation risk where changes improve continuity. A single “very low” appetite statement may not adequately describe this distinction.</w:t>
      </w:r>
    </w:p>
    <w:p w14:paraId="72002494" w14:textId="77777777" w:rsidR="00826A1C" w:rsidRDefault="00000000">
      <w:r>
        <w:t>Define acceptable exposure and the significance benchmarks that determine when an issue requires management attention. Consider service interruption, claims delays, information security, and financial capacity. Explain how appetite relates to our ability to absorb losses and disruption, and identify where information is still needed to establish defensible limits.</w:t>
      </w:r>
    </w:p>
    <w:p w14:paraId="0A884618" w14:textId="77777777" w:rsidR="00826A1C" w:rsidRDefault="00000000">
      <w:r>
        <w:t>Coordinate escalation thresholds with Urman and financial or resource limits with Nathan. These should guide the crisis leadership team’s delegated authority. Keep significance thresholds separate from performance measures: the share of staff using approved secure access indicates implementation progress, while an unacceptable service interruption is a risk threshold.</w:t>
      </w:r>
    </w:p>
    <w:p w14:paraId="28F5B1CE" w14:textId="77777777" w:rsidR="00826A1C" w:rsidRDefault="00000000">
      <w:pPr>
        <w:pStyle w:val="Heading1"/>
      </w:pPr>
      <w:r>
        <w:t>Decisions needed from Lester</w:t>
      </w:r>
    </w:p>
    <w:p w14:paraId="0FBA5461" w14:textId="06307D8B" w:rsidR="00826A1C" w:rsidRDefault="00000000">
      <w:r>
        <w:t>Propose the appetite by risk area, the basis for significant-risk thresholds, and the conditions requiring executive approval. Identify which limits can be justified now and which require further information. Do not treat the 55/80 index as a probability of loss or a defined appetite limit.</w:t>
      </w:r>
    </w:p>
    <w:p w14:paraId="7A43D7F0" w14:textId="77777777" w:rsidR="00826A1C" w:rsidRDefault="00000000">
      <w:pPr>
        <w:pStyle w:val="Heading1"/>
      </w:pPr>
      <w:r>
        <w:t>Nathan — Risk Resources</w:t>
      </w:r>
    </w:p>
    <w:p w14:paraId="17C01610" w14:textId="77777777" w:rsidR="00826A1C" w:rsidRDefault="00000000">
      <w:r>
        <w:t>Identify the people, time, equipment, funding, and specialist support needed for secure continuity of claims processing, premium collection, and customer support. Consider remote-work equipment and training, essential-role backup, IT capacity, security expertise, and supplier oversight.</w:t>
      </w:r>
    </w:p>
    <w:p w14:paraId="3F1B31AA" w14:textId="77777777" w:rsidR="00826A1C" w:rsidRDefault="00000000">
      <w:r>
        <w:t>Distinguish currently available resources from proposed additions. Assess potential Tiva support without assuming that funding or staff are committed. Compare internal delivery with specialist support where useful, considering cost, capability, continuity, and retained accountability. Outsourcing work does not automatically transfer its risk.</w:t>
      </w:r>
    </w:p>
    <w:p w14:paraId="114D1609" w14:textId="77777777" w:rsidR="00826A1C" w:rsidRDefault="00000000">
      <w:r>
        <w:t>Propose how urgent resource needs will be prioritized and how spending authority will relate to the crisis leadership team’s mandate. Separate immediate stabilization needs from longer-term improvement costs, including recurring cloud and provider costs.</w:t>
      </w:r>
    </w:p>
    <w:p w14:paraId="5553117D" w14:textId="77777777" w:rsidR="00826A1C" w:rsidRDefault="00000000">
      <w:pPr>
        <w:pStyle w:val="Heading1"/>
      </w:pPr>
      <w:r>
        <w:t>Decisions needed from Nathan</w:t>
      </w:r>
    </w:p>
    <w:p w14:paraId="6ED2C76B" w14:textId="77777777" w:rsidR="00826A1C" w:rsidRDefault="00000000">
      <w:r>
        <w:t>Identify resource gaps, realistic support options, approval responsibilities, and information needed before budgets or spending limits can be confirmed. Coordinate those limits with Lester and provide Urman with the capacity assumptions needed for workable procedures.</w:t>
      </w:r>
    </w:p>
    <w:p w14:paraId="27393A00" w14:textId="77777777" w:rsidR="00826A1C" w:rsidRDefault="00000000">
      <w:pPr>
        <w:pStyle w:val="Heading1"/>
      </w:pPr>
      <w:r>
        <w:lastRenderedPageBreak/>
        <w:t>Urman — Risk Protocols</w:t>
      </w:r>
    </w:p>
    <w:p w14:paraId="5972DBA7" w14:textId="77777777" w:rsidR="00826A1C" w:rsidRDefault="00000000">
      <w:r>
        <w:t>Define how risks will be assessed, recorded, escalated, monitored, and reviewed consistently across functions. Establish reporting responsibilities and propose a review frequency, including reviews after significant incidents or changes in conditions.</w:t>
      </w:r>
    </w:p>
    <w:p w14:paraId="266184B7" w14:textId="77777777" w:rsidR="00826A1C" w:rsidRDefault="00000000">
      <w:r>
        <w:t>Explain how operational changes will be assessed, tested, approved, and reviewed. Relevant areas include secure remote access, cloud changes, recovery testing, supplier substitution, and customer communication. Include a workable escalation route when risk or resource limits are exceeded.</w:t>
      </w:r>
    </w:p>
    <w:p w14:paraId="062D1B4E" w14:textId="77777777" w:rsidR="00826A1C" w:rsidRDefault="00000000">
      <w:r>
        <w:t>Propose definitions and evidence sources for indicators such as service availability, claims backlogs, secure remote access, staffing coverage, and control-test results. Coordinate financial indicators with Finance and Nathan. Agree measurable targets using available baselines rather than inventing unsupported figures.</w:t>
      </w:r>
    </w:p>
    <w:p w14:paraId="0B7D2301" w14:textId="77777777" w:rsidR="00826A1C" w:rsidRDefault="00000000">
      <w:pPr>
        <w:pStyle w:val="Heading1"/>
      </w:pPr>
      <w:r>
        <w:t>Final alignment before combining the sections</w:t>
      </w:r>
    </w:p>
    <w:p w14:paraId="5AB4A285" w14:textId="77777777" w:rsidR="00826A1C" w:rsidRDefault="00000000">
      <w:r>
        <w:t>Together, confirm delegated authority, escalation thresholds, resource limits, and the evidence required to consider operations stable enough for growth to resume. Ensure proposed controls are described consistently and that each indicator has an owner, an evidence source, and a review arrangement.</w:t>
      </w:r>
    </w:p>
    <w:p w14:paraId="5ECBBB41" w14:textId="77777777" w:rsidR="00826A1C" w:rsidRDefault="00000000">
      <w:r>
        <w:t>Textbook basis: Hopkin, P. (2018). Fundamentals of risk management (5th ed.). Kogan Page. Chapter 21, especially Table 21.1 and “Risk management strategy” (uploaded PDF pages 409–416). The six-part strategy structure is our adaptation for the assignment.</w:t>
      </w:r>
    </w:p>
    <w:sectPr w:rsidR="00826A1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46738246">
    <w:abstractNumId w:val="8"/>
  </w:num>
  <w:num w:numId="2" w16cid:durableId="1605920650">
    <w:abstractNumId w:val="6"/>
  </w:num>
  <w:num w:numId="3" w16cid:durableId="1945381047">
    <w:abstractNumId w:val="5"/>
  </w:num>
  <w:num w:numId="4" w16cid:durableId="417753815">
    <w:abstractNumId w:val="4"/>
  </w:num>
  <w:num w:numId="5" w16cid:durableId="1575122309">
    <w:abstractNumId w:val="7"/>
  </w:num>
  <w:num w:numId="6" w16cid:durableId="481046623">
    <w:abstractNumId w:val="3"/>
  </w:num>
  <w:num w:numId="7" w16cid:durableId="1197235326">
    <w:abstractNumId w:val="2"/>
  </w:num>
  <w:num w:numId="8" w16cid:durableId="1649747816">
    <w:abstractNumId w:val="1"/>
  </w:num>
  <w:num w:numId="9" w16cid:durableId="8470598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A0285"/>
    <w:rsid w:val="00826A1C"/>
    <w:rsid w:val="00AA1D8D"/>
    <w:rsid w:val="00B47730"/>
    <w:rsid w:val="00CB0664"/>
    <w:rsid w:val="00D9472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65D1E6"/>
  <w14:defaultImageDpi w14:val="300"/>
  <w15:docId w15:val="{37621B3F-D36E-47EF-B2B6-724DF8980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2"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220" w:after="0"/>
      <w:outlineLvl w:val="0"/>
    </w:pPr>
    <w:rPr>
      <w:rFonts w:asciiTheme="majorHAnsi" w:eastAsiaTheme="majorEastAsia" w:hAnsiTheme="majorHAnsi" w:cstheme="majorBidi"/>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674</Words>
  <Characters>3842</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Chris Haritun</cp:lastModifiedBy>
  <cp:revision>2</cp:revision>
  <dcterms:created xsi:type="dcterms:W3CDTF">2013-12-23T23:15:00Z</dcterms:created>
  <dcterms:modified xsi:type="dcterms:W3CDTF">2026-10-06T23:14:00Z</dcterms:modified>
  <cp:category/>
</cp:coreProperties>
</file>