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AF5F" w14:textId="77777777" w:rsidR="00B434E9" w:rsidRDefault="00000000">
      <w:pPr>
        <w:pStyle w:val="Title"/>
        <w:jc w:val="center"/>
      </w:pPr>
      <w:r>
        <w:t xml:space="preserve">Risk management context </w:t>
      </w:r>
    </w:p>
    <w:p w14:paraId="65B97D4A" w14:textId="77777777" w:rsidR="00B434E9" w:rsidRDefault="00000000">
      <w:pPr>
        <w:pStyle w:val="Heading1"/>
      </w:pPr>
      <w:r>
        <w:t>Overview</w:t>
      </w:r>
    </w:p>
    <w:p w14:paraId="18087F6A" w14:textId="77777777" w:rsidR="00B434E9" w:rsidRDefault="00000000">
      <w:r>
        <w:t>ITrustU is a multi product insurance company operating in Ontario Canada with fewer than 50 employees across different functions. After completing the riskiness index document for the company over 4 different segments (Financial, Infrastructure, Reputation, Marketplace), the index  stands at 55 out of 80. Among these 4 segments, the ITrustU company is mostly prone to marketplace and reputation risks as they scored the highest with indices 15 and 14 followed by infrastructure and financial risks, which each scored 13 out of 20. Considering the size of the company, and its customer base, company should invest in mitigating the risk tto avoid catastrophes by having a prepared game plan for all foreseeable scenarios.</w:t>
      </w:r>
    </w:p>
    <w:p w14:paraId="190CCA4B" w14:textId="77777777" w:rsidR="00B434E9" w:rsidRDefault="00000000">
      <w:r>
        <w:t>ITrustU operates in Ontario Canada and many federal and provincial regulations apply to the company in all different segments and not satisfying any of the regulatory standards affects both the company's reputation and marketplace position if the company goes through audits. These regulations include PIPEDA (Personal Information Protection and Electronic Documents Act; Government of Canada, 2000), OSFI (Office of the Superintendent of Financial Institutions [OSFI], n.d.), FINTRAC (Financial Transactions and Reports Analysis Centre of Canada [FINTRAC], n.d.), and many other regulators overseeing operations, finances, technologies, securities, and other aspects of the business.</w:t>
      </w:r>
    </w:p>
    <w:p w14:paraId="1AB96F59" w14:textId="77777777" w:rsidR="00B434E9" w:rsidRDefault="00000000">
      <w:r>
        <w:t>During the pandemic, the Insurance Bureau of Canada reported rising fraud and scams, noting that "some fraudsters view the pandemic as an opportunity to profit." It identified staged collisions, body shop and towing schemes that charged excessive cleaning fees and prolonged vehicle storage, and cyber attacks on small and medium-sized businesses as more companies moved to remote work (Insurance Bureau of Canada, 2021). With remote staff and a small team covering claims and IT, ITrustU could struggle to catch such risks before they become threats. Preparing in advance can help. For example, regular bulletins and staff training on identifying insurance fraud would make front-line employees the first line of defence, data analytics could flag suspicious claims, and well-kept documentation would help the company show compliance, including with FINTRAC requirements, if it is audited.</w:t>
      </w:r>
    </w:p>
    <w:p w14:paraId="56F1637A" w14:textId="77777777" w:rsidR="00B434E9" w:rsidRDefault="00000000">
      <w:r>
        <w:t xml:space="preserve">Overall, by starting a risk management plan to understand the weak points and the risky segments of the company, and having a proper plan to mitigate the risk if any of the events happen, the company can have enough agility to recover from risks if any happened and more import to avoid the risk. </w:t>
      </w:r>
    </w:p>
    <w:p w14:paraId="0582175D" w14:textId="77777777" w:rsidR="00B434E9" w:rsidRDefault="00B434E9"/>
    <w:p w14:paraId="6AC70EAB" w14:textId="77777777" w:rsidR="00B434E9" w:rsidRDefault="00B434E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718AA5B0" w14:textId="77777777" w:rsidR="00B434E9" w:rsidRDefault="00B434E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color w:val="000000"/>
          <w:sz w:val="24"/>
          <w:szCs w:val="24"/>
        </w:rPr>
      </w:pPr>
    </w:p>
    <w:p w14:paraId="6F033C9B" w14:textId="77777777" w:rsidR="00B434E9" w:rsidRDefault="00B434E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color w:val="000000"/>
          <w:sz w:val="24"/>
          <w:szCs w:val="24"/>
        </w:rPr>
      </w:pPr>
    </w:p>
    <w:p w14:paraId="582D41D0" w14:textId="25AB4E93" w:rsidR="000D117C" w:rsidRDefault="000D117C">
      <w:pPr>
        <w:pStyle w:val="Heading1"/>
      </w:pPr>
      <w:r>
        <w:lastRenderedPageBreak/>
        <w:t>Revisions</w:t>
      </w:r>
    </w:p>
    <w:p w14:paraId="3B4D8E8B" w14:textId="77777777" w:rsidR="000D117C" w:rsidRDefault="000D117C" w:rsidP="000D117C">
      <w:r>
        <w:t xml:space="preserve">ITrustU is a </w:t>
      </w:r>
      <w:r>
        <w:rPr>
          <w:strike/>
        </w:rPr>
        <w:t xml:space="preserve">multi product </w:t>
      </w:r>
      <w:r>
        <w:rPr>
          <w:b/>
        </w:rPr>
        <w:t xml:space="preserve">multi-product </w:t>
      </w:r>
      <w:r>
        <w:t xml:space="preserve">insurance company operating in </w:t>
      </w:r>
      <w:r>
        <w:rPr>
          <w:strike/>
        </w:rPr>
        <w:t xml:space="preserve">Ontario Canada </w:t>
      </w:r>
      <w:r>
        <w:rPr>
          <w:b/>
        </w:rPr>
        <w:t xml:space="preserve">Ontario, Canada, </w:t>
      </w:r>
      <w:r>
        <w:t xml:space="preserve">with </w:t>
      </w:r>
      <w:r>
        <w:rPr>
          <w:strike/>
        </w:rPr>
        <w:t xml:space="preserve">fewer than </w:t>
      </w:r>
      <w:r>
        <w:rPr>
          <w:b/>
        </w:rPr>
        <w:t xml:space="preserve">just over </w:t>
      </w:r>
      <w:r>
        <w:t xml:space="preserve">50 employees across different functions. </w:t>
      </w:r>
      <w:r>
        <w:rPr>
          <w:b/>
        </w:rPr>
        <w:t xml:space="preserve">We are part of the Tiva insurance group and provide insurance and pension products to individuals and small businesses. Our small workforce supports a substantial customer base, and our operations depend on technology and third-party services. </w:t>
      </w:r>
      <w:r>
        <w:t xml:space="preserve">After completing the </w:t>
      </w:r>
      <w:r>
        <w:rPr>
          <w:strike/>
        </w:rPr>
        <w:t xml:space="preserve">riskiness index document </w:t>
      </w:r>
      <w:r>
        <w:rPr>
          <w:b/>
        </w:rPr>
        <w:t xml:space="preserve">Riskiness Index </w:t>
      </w:r>
      <w:r>
        <w:t xml:space="preserve">for </w:t>
      </w:r>
      <w:r>
        <w:rPr>
          <w:strike/>
        </w:rPr>
        <w:t xml:space="preserve">the </w:t>
      </w:r>
      <w:r>
        <w:rPr>
          <w:b/>
        </w:rPr>
        <w:t xml:space="preserve">our </w:t>
      </w:r>
      <w:r>
        <w:t xml:space="preserve">company </w:t>
      </w:r>
      <w:r>
        <w:rPr>
          <w:strike/>
        </w:rPr>
        <w:t xml:space="preserve">over 4 </w:t>
      </w:r>
      <w:r>
        <w:rPr>
          <w:b/>
        </w:rPr>
        <w:t xml:space="preserve">across four </w:t>
      </w:r>
      <w:r>
        <w:t xml:space="preserve">different segments (Financial, Infrastructure, Reputation, Marketplace), </w:t>
      </w:r>
      <w:r>
        <w:rPr>
          <w:strike/>
        </w:rPr>
        <w:t xml:space="preserve">the index  </w:t>
      </w:r>
      <w:r>
        <w:rPr>
          <w:b/>
        </w:rPr>
        <w:t xml:space="preserve">our index </w:t>
      </w:r>
      <w:r>
        <w:t xml:space="preserve">stands at 55 out of 80. Among these </w:t>
      </w:r>
      <w:r>
        <w:rPr>
          <w:strike/>
        </w:rPr>
        <w:t xml:space="preserve">4 </w:t>
      </w:r>
      <w:r>
        <w:rPr>
          <w:b/>
        </w:rPr>
        <w:t xml:space="preserve">four </w:t>
      </w:r>
      <w:r>
        <w:t xml:space="preserve">segments, </w:t>
      </w:r>
      <w:r>
        <w:rPr>
          <w:strike/>
        </w:rPr>
        <w:t xml:space="preserve">the ITrustU company is mostly prone to </w:t>
      </w:r>
      <w:r>
        <w:rPr>
          <w:b/>
        </w:rPr>
        <w:t xml:space="preserve">our </w:t>
      </w:r>
      <w:r>
        <w:t xml:space="preserve">marketplace and reputation risks </w:t>
      </w:r>
      <w:r>
        <w:rPr>
          <w:strike/>
        </w:rPr>
        <w:t xml:space="preserve">as they scored </w:t>
      </w:r>
      <w:r>
        <w:rPr>
          <w:b/>
        </w:rPr>
        <w:t xml:space="preserve">score </w:t>
      </w:r>
      <w:r>
        <w:t xml:space="preserve">the </w:t>
      </w:r>
      <w:r>
        <w:rPr>
          <w:strike/>
        </w:rPr>
        <w:t xml:space="preserve">highest </w:t>
      </w:r>
      <w:r>
        <w:rPr>
          <w:b/>
        </w:rPr>
        <w:t xml:space="preserve">highest, </w:t>
      </w:r>
      <w:r>
        <w:t xml:space="preserve">with indices </w:t>
      </w:r>
      <w:r>
        <w:rPr>
          <w:b/>
        </w:rPr>
        <w:t xml:space="preserve">of </w:t>
      </w:r>
      <w:r>
        <w:t xml:space="preserve">15 and </w:t>
      </w:r>
      <w:r>
        <w:rPr>
          <w:strike/>
        </w:rPr>
        <w:t xml:space="preserve">14 </w:t>
      </w:r>
      <w:r>
        <w:rPr>
          <w:b/>
        </w:rPr>
        <w:t xml:space="preserve">14, </w:t>
      </w:r>
      <w:r>
        <w:t xml:space="preserve">followed by infrastructure and financial risks, which each </w:t>
      </w:r>
      <w:r>
        <w:rPr>
          <w:strike/>
        </w:rPr>
        <w:t xml:space="preserve">scored </w:t>
      </w:r>
      <w:r>
        <w:rPr>
          <w:b/>
        </w:rPr>
        <w:t xml:space="preserve">score </w:t>
      </w:r>
      <w:r>
        <w:t xml:space="preserve">13 out of 20. </w:t>
      </w:r>
      <w:r>
        <w:rPr>
          <w:b/>
        </w:rPr>
        <w:t xml:space="preserve">These results indicate substantial exposure across all four segments. IT resilience is our highest-rated individual risk at 5/5, despite Infrastructure having a lower overall total. </w:t>
      </w:r>
      <w:r>
        <w:t xml:space="preserve">Considering the size of </w:t>
      </w:r>
      <w:r>
        <w:rPr>
          <w:strike/>
        </w:rPr>
        <w:t xml:space="preserve">the company, </w:t>
      </w:r>
      <w:r>
        <w:rPr>
          <w:b/>
        </w:rPr>
        <w:t xml:space="preserve">our company </w:t>
      </w:r>
      <w:r>
        <w:t xml:space="preserve">and </w:t>
      </w:r>
      <w:r>
        <w:rPr>
          <w:strike/>
        </w:rPr>
        <w:t xml:space="preserve">its </w:t>
      </w:r>
      <w:r>
        <w:rPr>
          <w:b/>
        </w:rPr>
        <w:t xml:space="preserve">our </w:t>
      </w:r>
      <w:r>
        <w:t xml:space="preserve">customer base, </w:t>
      </w:r>
      <w:r>
        <w:rPr>
          <w:strike/>
        </w:rPr>
        <w:t xml:space="preserve">company </w:t>
      </w:r>
      <w:r>
        <w:rPr>
          <w:b/>
        </w:rPr>
        <w:t xml:space="preserve">we </w:t>
      </w:r>
      <w:r>
        <w:t xml:space="preserve">should invest in mitigating </w:t>
      </w:r>
      <w:r>
        <w:rPr>
          <w:strike/>
        </w:rPr>
        <w:t xml:space="preserve">the </w:t>
      </w:r>
      <w:r>
        <w:t xml:space="preserve">risk </w:t>
      </w:r>
      <w:r>
        <w:rPr>
          <w:strike/>
        </w:rPr>
        <w:t xml:space="preserve">tto avoid catastrophes by having a prepared game plan </w:t>
      </w:r>
      <w:r>
        <w:rPr>
          <w:b/>
        </w:rPr>
        <w:t xml:space="preserve">and preparing </w:t>
      </w:r>
      <w:r>
        <w:t xml:space="preserve">for </w:t>
      </w:r>
      <w:r>
        <w:rPr>
          <w:strike/>
        </w:rPr>
        <w:t xml:space="preserve">all </w:t>
      </w:r>
      <w:r>
        <w:t xml:space="preserve">foreseeable </w:t>
      </w:r>
      <w:r>
        <w:rPr>
          <w:strike/>
        </w:rPr>
        <w:t>scenarios.</w:t>
      </w:r>
      <w:r>
        <w:t xml:space="preserve"> </w:t>
      </w:r>
      <w:r>
        <w:rPr>
          <w:b/>
        </w:rPr>
        <w:t>disruptions.</w:t>
      </w:r>
      <w:r>
        <w:t xml:space="preserve"> </w:t>
      </w:r>
    </w:p>
    <w:p w14:paraId="29624131" w14:textId="77777777" w:rsidR="000D117C" w:rsidRDefault="000D117C" w:rsidP="000D117C">
      <w:r>
        <w:rPr>
          <w:strike/>
        </w:rPr>
        <w:t xml:space="preserve">ITrustU operates </w:t>
      </w:r>
      <w:r>
        <w:rPr>
          <w:b/>
        </w:rPr>
        <w:t xml:space="preserve">We operate </w:t>
      </w:r>
      <w:r>
        <w:t xml:space="preserve">in </w:t>
      </w:r>
      <w:r>
        <w:rPr>
          <w:strike/>
        </w:rPr>
        <w:t xml:space="preserve">Ontario Canada </w:t>
      </w:r>
      <w:r>
        <w:rPr>
          <w:b/>
        </w:rPr>
        <w:t xml:space="preserve">Ontario, Canada, </w:t>
      </w:r>
      <w:r>
        <w:t xml:space="preserve">and </w:t>
      </w:r>
      <w:r>
        <w:rPr>
          <w:strike/>
        </w:rPr>
        <w:t xml:space="preserve">many </w:t>
      </w:r>
      <w:r>
        <w:t xml:space="preserve">federal and provincial </w:t>
      </w:r>
      <w:r>
        <w:rPr>
          <w:strike/>
        </w:rPr>
        <w:t xml:space="preserve">regulations </w:t>
      </w:r>
      <w:r>
        <w:rPr>
          <w:b/>
        </w:rPr>
        <w:t xml:space="preserve">requirements </w:t>
      </w:r>
      <w:r>
        <w:t xml:space="preserve">apply to </w:t>
      </w:r>
      <w:r>
        <w:rPr>
          <w:strike/>
        </w:rPr>
        <w:t xml:space="preserve">the </w:t>
      </w:r>
      <w:r>
        <w:rPr>
          <w:b/>
        </w:rPr>
        <w:t xml:space="preserve">our </w:t>
      </w:r>
      <w:r>
        <w:t xml:space="preserve">company </w:t>
      </w:r>
      <w:r>
        <w:rPr>
          <w:strike/>
        </w:rPr>
        <w:t xml:space="preserve">in all </w:t>
      </w:r>
      <w:r>
        <w:rPr>
          <w:b/>
        </w:rPr>
        <w:t xml:space="preserve">across </w:t>
      </w:r>
      <w:r>
        <w:t xml:space="preserve">different </w:t>
      </w:r>
      <w:r>
        <w:rPr>
          <w:strike/>
        </w:rPr>
        <w:t xml:space="preserve">segments and not satisfying any of the </w:t>
      </w:r>
      <w:r>
        <w:rPr>
          <w:b/>
        </w:rPr>
        <w:t xml:space="preserve">segments. Failure to satisfy applicable </w:t>
      </w:r>
      <w:r>
        <w:t xml:space="preserve">regulatory standards </w:t>
      </w:r>
      <w:r>
        <w:rPr>
          <w:strike/>
        </w:rPr>
        <w:t xml:space="preserve">affects both the company's </w:t>
      </w:r>
      <w:r>
        <w:rPr>
          <w:b/>
        </w:rPr>
        <w:t xml:space="preserve">may affect our </w:t>
      </w:r>
      <w:r>
        <w:t xml:space="preserve">reputation and marketplace position </w:t>
      </w:r>
      <w:r>
        <w:rPr>
          <w:strike/>
        </w:rPr>
        <w:t xml:space="preserve">if the company goes through audits. </w:t>
      </w:r>
      <w:r>
        <w:rPr>
          <w:b/>
        </w:rPr>
        <w:t xml:space="preserve">and expose us to regulatory action, whether or not an audit occurs. </w:t>
      </w:r>
      <w:commentRangeStart w:id="0"/>
      <w:r>
        <w:rPr>
          <w:strike/>
        </w:rPr>
        <w:t>These regulations include PIPEDA (Personal Information Protection and Electronic Documents Act; Government of Canada, 2000), OSFI (Office of the Superintendent of Financial Institutions [OSFI], n.d.), FINTRAC (Financial Transactions and Reports Analysis Centre of Canada [FINTRAC], n.d.), and many other regulators overseeing operations, finances, technologies, securities, and other aspects of the business</w:t>
      </w:r>
      <w:commentRangeEnd w:id="0"/>
      <w:r>
        <w:rPr>
          <w:rStyle w:val="CommentReference"/>
          <w:strike/>
          <w:sz w:val="22"/>
          <w:szCs w:val="22"/>
        </w:rPr>
        <w:commentReference w:id="0"/>
      </w:r>
      <w:r>
        <w:rPr>
          <w:strike/>
        </w:rPr>
        <w:t>.</w:t>
      </w:r>
      <w:r>
        <w:t xml:space="preserve"> </w:t>
      </w:r>
      <w:r>
        <w:rPr>
          <w:b/>
        </w:rPr>
        <w:t>These requirements include PIPEDA (Personal Information Protection and Electronic Documents Act; Government of Canada, 2000), Ontario insurance requirements overseen by the Financial Services Regulatory Authority of Ontario (FSRA, n.d.), and applicable anti-money-laundering obligations for our life-insurance activities overseen by FINTRAC (Financial Transactions and Reports Analysis Centre of Canada, n.d.). OSFI (Office of the Superintendent of Financial Institutions, n.d.) supervises federally regulated insurers; its applicability to ITrustU requires confirmation. These bodies have different responsibilities, so we need to identify the requirements relevant to our activities and maintain compliance as working arrangements change.</w:t>
      </w:r>
    </w:p>
    <w:p w14:paraId="396BAE59" w14:textId="77777777" w:rsidR="000D117C" w:rsidRDefault="000D117C" w:rsidP="000D117C">
      <w:commentRangeStart w:id="1"/>
      <w:r>
        <w:rPr>
          <w:strike/>
        </w:rPr>
        <w:t xml:space="preserve">During the pandemic, the Insurance Bureau of Canada reported rising fraud and scams, noting that "some fraudsters view the pandemic as an opportunity to profit." It identified staged collisions, body shop and towing schemes that charged excessive cleaning fees and prolonged vehicle storage, and cyber attacks on small and medium-sized businesses as more companies moved to remote work (Insurance Bureau of Canada, 2021). </w:t>
      </w:r>
      <w:commentRangeEnd w:id="1"/>
      <w:r>
        <w:rPr>
          <w:rStyle w:val="CommentReference"/>
          <w:b/>
          <w:sz w:val="22"/>
          <w:szCs w:val="22"/>
        </w:rPr>
        <w:commentReference w:id="1"/>
      </w:r>
      <w:r>
        <w:rPr>
          <w:b/>
        </w:rPr>
        <w:t xml:space="preserve">Our reliance on office-based equipment and on-site servers may limit remote access, while external providers may experience staffing shortages, delayed services, or business closures. </w:t>
      </w:r>
      <w:r>
        <w:t xml:space="preserve">With remote staff and a small team covering claims and IT, </w:t>
      </w:r>
      <w:r>
        <w:rPr>
          <w:strike/>
        </w:rPr>
        <w:t xml:space="preserve">ITrustU </w:t>
      </w:r>
      <w:r>
        <w:rPr>
          <w:b/>
        </w:rPr>
        <w:t xml:space="preserve">we </w:t>
      </w:r>
      <w:r>
        <w:t xml:space="preserve">could struggle to </w:t>
      </w:r>
      <w:r>
        <w:rPr>
          <w:strike/>
        </w:rPr>
        <w:t xml:space="preserve">catch such risks before </w:t>
      </w:r>
      <w:r>
        <w:rPr>
          <w:strike/>
        </w:rPr>
        <w:lastRenderedPageBreak/>
        <w:t xml:space="preserve">they become threats. </w:t>
      </w:r>
      <w:r>
        <w:rPr>
          <w:b/>
        </w:rPr>
        <w:t xml:space="preserve">maintain essential services and effective oversight. </w:t>
      </w:r>
      <w:r>
        <w:t xml:space="preserve">Preparing in advance can help. For example, </w:t>
      </w:r>
      <w:commentRangeStart w:id="2"/>
      <w:r>
        <w:rPr>
          <w:strike/>
        </w:rPr>
        <w:t xml:space="preserve">regular bulletins and </w:t>
      </w:r>
      <w:r>
        <w:t xml:space="preserve">staff </w:t>
      </w:r>
      <w:r>
        <w:rPr>
          <w:strike/>
        </w:rPr>
        <w:t>training on identifying insurance fraud would make front-line employees the first line of defence, data analytics could flag suspicious claims</w:t>
      </w:r>
      <w:commentRangeEnd w:id="2"/>
      <w:r>
        <w:rPr>
          <w:rStyle w:val="CommentReference"/>
          <w:strike/>
          <w:sz w:val="22"/>
          <w:szCs w:val="22"/>
        </w:rPr>
        <w:commentReference w:id="2"/>
      </w:r>
      <w:r>
        <w:rPr>
          <w:strike/>
        </w:rPr>
        <w:t xml:space="preserve">, </w:t>
      </w:r>
      <w:r>
        <w:rPr>
          <w:b/>
        </w:rPr>
        <w:t xml:space="preserve">training, secure access to company resources, </w:t>
      </w:r>
      <w:r>
        <w:t xml:space="preserve">and well-kept documentation </w:t>
      </w:r>
      <w:r>
        <w:rPr>
          <w:strike/>
        </w:rPr>
        <w:t>would help the company show compliance, including with FINTRAC requirements, if it is audited.</w:t>
      </w:r>
      <w:r>
        <w:t xml:space="preserve"> </w:t>
      </w:r>
      <w:r>
        <w:rPr>
          <w:b/>
        </w:rPr>
        <w:t>could support continuity and compliance as working arrangements change. These pressures may occur together, disrupting claims processing and premium collection while affecting customer information and trust.</w:t>
      </w:r>
      <w:r>
        <w:t xml:space="preserve"> </w:t>
      </w:r>
    </w:p>
    <w:p w14:paraId="730C52FD" w14:textId="77777777" w:rsidR="000D117C" w:rsidRDefault="000D117C" w:rsidP="000D117C">
      <w:r>
        <w:t xml:space="preserve">Overall, by </w:t>
      </w:r>
      <w:commentRangeStart w:id="3"/>
      <w:r>
        <w:rPr>
          <w:strike/>
        </w:rPr>
        <w:t>starting a risk management plan to understand the weak points and the risky segments of the company, and having a proper plan to mitigate the risk if any of the events happen, the company can have enough agility to recover from risks if any happened and more import to avoid the risk</w:t>
      </w:r>
      <w:commentRangeEnd w:id="3"/>
      <w:r>
        <w:rPr>
          <w:rStyle w:val="CommentReference"/>
          <w:strike/>
          <w:sz w:val="22"/>
          <w:szCs w:val="22"/>
        </w:rPr>
        <w:commentReference w:id="3"/>
      </w:r>
      <w:r>
        <w:rPr>
          <w:strike/>
        </w:rPr>
        <w:t xml:space="preserve">. </w:t>
      </w:r>
      <w:r>
        <w:t xml:space="preserve"> </w:t>
      </w:r>
      <w:r>
        <w:rPr>
          <w:b/>
        </w:rPr>
        <w:t>updating our existing risk management plan to address a pandemic that it did not anticipate, we can better understand our weak points and areas of exposure. Having a plan to mitigate these risks can improve our ability to respond and recover if disruptions occur, while reducing their likelihood or consequences where possible. This context guides the strategy, risk appetite, resources, and protocols developed in the following Risk Agenda sections.</w:t>
      </w:r>
    </w:p>
    <w:p w14:paraId="1C1A62D0" w14:textId="77777777" w:rsidR="000D117C" w:rsidRPr="000D117C" w:rsidRDefault="000D117C" w:rsidP="000D117C"/>
    <w:p w14:paraId="6A390742" w14:textId="48F77416" w:rsidR="00B434E9" w:rsidRDefault="00000000">
      <w:pPr>
        <w:pStyle w:val="Heading1"/>
      </w:pPr>
      <w:r>
        <w:t>References</w:t>
      </w:r>
    </w:p>
    <w:p w14:paraId="51BC8C4D" w14:textId="73806B77" w:rsidR="000D117C" w:rsidRDefault="000D117C" w:rsidP="000D117C">
      <w:pPr>
        <w:rPr>
          <w:lang w:val="en-CA"/>
        </w:rPr>
      </w:pPr>
      <w:r w:rsidRPr="000D117C">
        <w:rPr>
          <w:lang w:val="en-CA"/>
        </w:rPr>
        <w:t xml:space="preserve">Financial Services Regulatory Authority of Ontario. (n.d.). Property and casualty, and general insurance. </w:t>
      </w:r>
      <w:hyperlink r:id="rId10" w:history="1">
        <w:r w:rsidRPr="000D117C">
          <w:rPr>
            <w:rStyle w:val="Hyperlink"/>
            <w:lang w:val="en-CA"/>
          </w:rPr>
          <w:t>https://www.fsrao.ca/industry/property-and-casualty-and-general-insurance</w:t>
        </w:r>
      </w:hyperlink>
    </w:p>
    <w:p w14:paraId="2E8D3968" w14:textId="3ABA88ED" w:rsidR="00C760F1" w:rsidRPr="000D117C" w:rsidRDefault="00C760F1" w:rsidP="000D117C">
      <w:pPr>
        <w:rPr>
          <w:lang w:val="en-CA"/>
        </w:rPr>
      </w:pPr>
      <w:r w:rsidRPr="00C760F1">
        <w:t xml:space="preserve">Financial Services Regulatory Authority of Ontario. (n.d.). </w:t>
      </w:r>
      <w:r w:rsidRPr="00C760F1">
        <w:rPr>
          <w:i/>
          <w:iCs/>
        </w:rPr>
        <w:t>Life and health insurance</w:t>
      </w:r>
      <w:r w:rsidRPr="00C760F1">
        <w:t xml:space="preserve">. </w:t>
      </w:r>
      <w:hyperlink r:id="rId11" w:history="1">
        <w:r w:rsidRPr="00C760F1">
          <w:rPr>
            <w:rStyle w:val="Hyperlink"/>
          </w:rPr>
          <w:t>https://www.fsrao.ca/industry/life-and-health-insurance</w:t>
        </w:r>
      </w:hyperlink>
    </w:p>
    <w:p w14:paraId="495F3E9D" w14:textId="0301A6D3" w:rsidR="000D117C" w:rsidRPr="000D117C" w:rsidRDefault="000D117C" w:rsidP="000D117C">
      <w:pPr>
        <w:rPr>
          <w:lang w:val="en-CA"/>
        </w:rPr>
      </w:pPr>
      <w:r w:rsidRPr="000D117C">
        <w:rPr>
          <w:lang w:val="en-CA"/>
        </w:rPr>
        <w:t xml:space="preserve">Financial Transactions and Reports Analysis Centre of Canada. (n.d.). Life insurance companies, brokers and agents. Government of Canada. </w:t>
      </w:r>
      <w:hyperlink r:id="rId12" w:history="1">
        <w:r w:rsidRPr="000D117C">
          <w:rPr>
            <w:rStyle w:val="Hyperlink"/>
            <w:lang w:val="en-CA"/>
          </w:rPr>
          <w:t>https://fintrac-canafe.canada.ca/re-ed/li-eng</w:t>
        </w:r>
      </w:hyperlink>
      <w:r w:rsidRPr="000D117C">
        <w:rPr>
          <w:lang w:val="en-CA"/>
        </w:rPr>
        <w:t xml:space="preserve"> </w:t>
      </w:r>
    </w:p>
    <w:p w14:paraId="65F1E24D" w14:textId="2C1F80F1" w:rsidR="000D117C" w:rsidRPr="000D117C" w:rsidRDefault="000D117C" w:rsidP="000D117C">
      <w:pPr>
        <w:rPr>
          <w:lang w:val="en-CA"/>
        </w:rPr>
      </w:pPr>
      <w:r w:rsidRPr="000D117C">
        <w:rPr>
          <w:lang w:val="en-CA"/>
        </w:rPr>
        <w:t xml:space="preserve">Government of Canada. (2000). Personal Information Protection and Electronic Documents Act (S.C. 2000, c. 5). Justice Laws Website. </w:t>
      </w:r>
      <w:hyperlink r:id="rId13" w:history="1">
        <w:r w:rsidRPr="000D117C">
          <w:rPr>
            <w:rStyle w:val="Hyperlink"/>
            <w:lang w:val="en-CA"/>
          </w:rPr>
          <w:t>https://laws-lois.justic</w:t>
        </w:r>
        <w:r w:rsidRPr="000D117C">
          <w:rPr>
            <w:rStyle w:val="Hyperlink"/>
            <w:lang w:val="en-CA"/>
          </w:rPr>
          <w:t>e</w:t>
        </w:r>
        <w:r w:rsidRPr="000D117C">
          <w:rPr>
            <w:rStyle w:val="Hyperlink"/>
            <w:lang w:val="en-CA"/>
          </w:rPr>
          <w:t>.gc.ca/eng/acts/p-8.6/page-1.html</w:t>
        </w:r>
      </w:hyperlink>
    </w:p>
    <w:p w14:paraId="0B8398F0" w14:textId="7F218E2F" w:rsidR="000D117C" w:rsidRDefault="000D117C" w:rsidP="000D117C">
      <w:pPr>
        <w:rPr>
          <w:lang w:val="en-CA"/>
        </w:rPr>
      </w:pPr>
      <w:r w:rsidRPr="000D117C">
        <w:rPr>
          <w:lang w:val="en-CA"/>
        </w:rPr>
        <w:t>Office of the Superintendent of Financial Institutions. (n.d.). Financial institutions. Government of Canada</w:t>
      </w:r>
      <w:hyperlink r:id="rId14" w:history="1">
        <w:r w:rsidRPr="000D117C">
          <w:rPr>
            <w:rStyle w:val="Hyperlink"/>
            <w:lang w:val="en-CA"/>
          </w:rPr>
          <w:t>. https://www.osfi-bsif.gc.ca/en/supervision/financial-institutions</w:t>
        </w:r>
      </w:hyperlink>
      <w:r w:rsidRPr="000D117C">
        <w:rPr>
          <w:lang w:val="en-CA"/>
        </w:rPr>
        <w:t xml:space="preserve"> </w:t>
      </w:r>
    </w:p>
    <w:p w14:paraId="1F98A4B8" w14:textId="77777777" w:rsidR="00B434E9" w:rsidRDefault="00B434E9"/>
    <w:sectPr w:rsidR="00B434E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Haritun" w:date="2026-10-06T19:58:00Z" w:initials="CH">
    <w:p w14:paraId="562A96B5" w14:textId="77777777" w:rsidR="000D117C" w:rsidRDefault="000D117C" w:rsidP="000D117C">
      <w:pPr>
        <w:pStyle w:val="CommentText"/>
      </w:pPr>
      <w:r>
        <w:rPr>
          <w:rStyle w:val="CommentReference"/>
        </w:rPr>
        <w:annotationRef/>
      </w:r>
      <w:r>
        <w:rPr>
          <w:lang w:val="en-CA"/>
        </w:rPr>
        <w:t>This is great. Just rewrote for consistency. I will include all of these links within the document. Great idea!</w:t>
      </w:r>
    </w:p>
  </w:comment>
  <w:comment w:id="1" w:author="Chris Haritun" w:date="2026-10-06T19:57:00Z" w:initials="CH">
    <w:p w14:paraId="409BBC84" w14:textId="77777777" w:rsidR="000D117C" w:rsidRDefault="000D117C" w:rsidP="000D117C">
      <w:pPr>
        <w:pStyle w:val="CommentText"/>
      </w:pPr>
      <w:r>
        <w:rPr>
          <w:rStyle w:val="CommentReference"/>
        </w:rPr>
        <w:annotationRef/>
      </w:r>
      <w:r>
        <w:rPr>
          <w:lang w:val="en-CA"/>
        </w:rPr>
        <w:t xml:space="preserve">I removed this as it is referencing something that may not have happened yet. Aren’t we meant to be acting as if we are at the start of the pandemic? </w:t>
      </w:r>
    </w:p>
  </w:comment>
  <w:comment w:id="2" w:author="Chris Haritun" w:date="2026-10-06T19:59:00Z" w:initials="CH">
    <w:p w14:paraId="485F9F44" w14:textId="77777777" w:rsidR="000D117C" w:rsidRDefault="000D117C" w:rsidP="000D117C">
      <w:pPr>
        <w:pStyle w:val="CommentText"/>
      </w:pPr>
      <w:r>
        <w:rPr>
          <w:rStyle w:val="CommentReference"/>
        </w:rPr>
        <w:annotationRef/>
      </w:r>
      <w:r>
        <w:rPr>
          <w:lang w:val="en-CA"/>
        </w:rPr>
        <w:t xml:space="preserve">Changed this as it falls into the scope of a different category. </w:t>
      </w:r>
    </w:p>
  </w:comment>
  <w:comment w:id="3" w:author="Chris Haritun" w:date="2026-10-06T20:01:00Z" w:initials="CH">
    <w:p w14:paraId="416B2AF0" w14:textId="77777777" w:rsidR="000D117C" w:rsidRDefault="000D117C" w:rsidP="000D117C">
      <w:pPr>
        <w:pStyle w:val="CommentText"/>
      </w:pPr>
      <w:r>
        <w:rPr>
          <w:rStyle w:val="CommentReference"/>
        </w:rPr>
        <w:annotationRef/>
      </w:r>
      <w:r>
        <w:rPr>
          <w:lang w:val="en-CA"/>
        </w:rPr>
        <w:t xml:space="preserve">Changed because of the initial wording: “starting a risk management plan”. We had one in place, we just didn’t anticipate the pandemic.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2A96B5" w15:done="0"/>
  <w15:commentEx w15:paraId="409BBC84" w15:done="0"/>
  <w15:commentEx w15:paraId="485F9F44" w15:done="0"/>
  <w15:commentEx w15:paraId="416B2A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93A9C" w16cex:dateUtc="2026-10-06T23:58:00Z"/>
  <w16cex:commentExtensible w16cex:durableId="280A1C96" w16cex:dateUtc="2026-10-06T23:57:00Z"/>
  <w16cex:commentExtensible w16cex:durableId="510D4594" w16cex:dateUtc="2026-10-06T23:59:00Z"/>
  <w16cex:commentExtensible w16cex:durableId="7077D16D" w16cex:dateUtc="2026-10-07T0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2A96B5" w16cid:durableId="61693A9C"/>
  <w16cid:commentId w16cid:paraId="409BBC84" w16cid:durableId="280A1C96"/>
  <w16cid:commentId w16cid:paraId="485F9F44" w16cid:durableId="510D4594"/>
  <w16cid:commentId w16cid:paraId="416B2AF0" w16cid:durableId="7077D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38F88" w14:textId="77777777" w:rsidR="00394BD9" w:rsidRDefault="00394BD9">
      <w:pPr>
        <w:spacing w:after="0" w:line="240" w:lineRule="auto"/>
      </w:pPr>
      <w:r>
        <w:separator/>
      </w:r>
    </w:p>
  </w:endnote>
  <w:endnote w:type="continuationSeparator" w:id="0">
    <w:p w14:paraId="71FC8491" w14:textId="77777777" w:rsidR="00394BD9" w:rsidRDefault="00394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47691" w14:textId="77777777" w:rsidR="00394BD9" w:rsidRDefault="00394BD9">
      <w:pPr>
        <w:spacing w:after="0" w:line="240" w:lineRule="auto"/>
      </w:pPr>
      <w:r>
        <w:separator/>
      </w:r>
    </w:p>
  </w:footnote>
  <w:footnote w:type="continuationSeparator" w:id="0">
    <w:p w14:paraId="6185EBA9" w14:textId="77777777" w:rsidR="00394BD9" w:rsidRDefault="00394BD9">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Haritun">
    <w15:presenceInfo w15:providerId="AD" w15:userId="S::charitun@myseneca.ca::819e8481-384a-41e6-af7b-7bb453c9ce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4E9"/>
    <w:rsid w:val="000D117C"/>
    <w:rsid w:val="00394BD9"/>
    <w:rsid w:val="007A0285"/>
    <w:rsid w:val="00B434E9"/>
    <w:rsid w:val="00C76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9B7F"/>
  <w15:docId w15:val="{37621B3F-D36E-47EF-B2B6-724DF898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CA" w:eastAsia="en-C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CA" w:eastAsia="en-CA"/>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CA" w:eastAsia="en-CA"/>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CA" w:eastAsia="en-CA"/>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CA" w:eastAsia="en-CA"/>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CA" w:eastAsia="en-CA"/>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CA" w:eastAsia="en-CA"/>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CA" w:eastAsia="en-C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CA" w:eastAsia="en-CA"/>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CA" w:eastAsia="en-CA"/>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CA" w:eastAsia="en-CA"/>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CA" w:eastAsia="en-CA"/>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CA" w:eastAsia="en-CA"/>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CA" w:eastAsia="en-CA"/>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TableParagraph">
    <w:name w:val="Table Paragraph"/>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lang w:val="en-GB"/>
    </w:rPr>
  </w:style>
  <w:style w:type="character" w:styleId="CommentReference">
    <w:name w:val="annotation reference"/>
    <w:basedOn w:val="DefaultParagraphFont"/>
    <w:uiPriority w:val="99"/>
    <w:semiHidden/>
    <w:unhideWhenUsed/>
    <w:rsid w:val="000D117C"/>
    <w:rPr>
      <w:sz w:val="16"/>
      <w:szCs w:val="16"/>
    </w:rPr>
  </w:style>
  <w:style w:type="paragraph" w:styleId="CommentText">
    <w:name w:val="annotation text"/>
    <w:basedOn w:val="Normal"/>
    <w:link w:val="CommentTextChar"/>
    <w:uiPriority w:val="99"/>
    <w:unhideWhenUsed/>
    <w:rsid w:val="000D117C"/>
    <w:pPr>
      <w:spacing w:line="240" w:lineRule="auto"/>
    </w:pPr>
    <w:rPr>
      <w:sz w:val="20"/>
      <w:szCs w:val="20"/>
    </w:rPr>
  </w:style>
  <w:style w:type="character" w:customStyle="1" w:styleId="CommentTextChar">
    <w:name w:val="Comment Text Char"/>
    <w:basedOn w:val="DefaultParagraphFont"/>
    <w:link w:val="CommentText"/>
    <w:uiPriority w:val="99"/>
    <w:rsid w:val="000D117C"/>
    <w:rPr>
      <w:sz w:val="20"/>
      <w:szCs w:val="20"/>
    </w:rPr>
  </w:style>
  <w:style w:type="paragraph" w:styleId="CommentSubject">
    <w:name w:val="annotation subject"/>
    <w:basedOn w:val="CommentText"/>
    <w:next w:val="CommentText"/>
    <w:link w:val="CommentSubjectChar"/>
    <w:uiPriority w:val="99"/>
    <w:semiHidden/>
    <w:unhideWhenUsed/>
    <w:rsid w:val="000D117C"/>
    <w:rPr>
      <w:b/>
      <w:bCs/>
    </w:rPr>
  </w:style>
  <w:style w:type="character" w:customStyle="1" w:styleId="CommentSubjectChar">
    <w:name w:val="Comment Subject Char"/>
    <w:basedOn w:val="CommentTextChar"/>
    <w:link w:val="CommentSubject"/>
    <w:uiPriority w:val="99"/>
    <w:semiHidden/>
    <w:rsid w:val="000D117C"/>
    <w:rPr>
      <w:b/>
      <w:bCs/>
      <w:sz w:val="20"/>
      <w:szCs w:val="20"/>
    </w:rPr>
  </w:style>
  <w:style w:type="character" w:styleId="UnresolvedMention">
    <w:name w:val="Unresolved Mention"/>
    <w:basedOn w:val="DefaultParagraphFont"/>
    <w:uiPriority w:val="99"/>
    <w:semiHidden/>
    <w:unhideWhenUsed/>
    <w:rsid w:val="000D1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laws-lois.justice.gc.ca/eng/acts/p-8.6/page-1.html"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fintrac-canafe.canada.ca/re-ed/li-eng%20" TargetMode="Externa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www.fsrao.ca/industry/life-and-health-insurance?utm_source=chatgpt.com"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fsrao.ca/industry/property-and-casualty-and-general-insurance"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20https:/www.osfi-bsif.gc.ca/en/supervision/financial-institutions%20"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Chris Haritun</cp:lastModifiedBy>
  <cp:revision>2</cp:revision>
  <dcterms:created xsi:type="dcterms:W3CDTF">2026-10-06T23:56:00Z</dcterms:created>
  <dcterms:modified xsi:type="dcterms:W3CDTF">2026-10-07T00:10:00Z</dcterms:modified>
</cp:coreProperties>
</file>