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pPr>
      <w:r>
        <w:rPr>
          <w:rFonts w:ascii="Calibri" w:cs="Calibri" w:eastAsia="Calibri" w:hAnsi="Calibri"/>
          <w:b/>
          <w:bCs/>
          <w:sz w:val="36"/>
          <w:szCs w:val="36"/>
        </w:rPr>
        <w:t xml:space="preserve">Risk Protocols</w:t>
      </w:r>
    </w:p>
    <w:p>
      <w:pPr>
        <w:spacing w:after="100" w:before="250"/>
      </w:pPr>
      <w:r>
        <w:rPr>
          <w:rFonts w:ascii="Calibri" w:cs="Calibri" w:eastAsia="Calibri" w:hAnsi="Calibri"/>
          <w:b/>
          <w:bCs/>
          <w:sz w:val="22"/>
          <w:szCs w:val="22"/>
        </w:rPr>
        <w:t xml:space="preserve">PURPOSE AND SCOPE</w:t>
      </w:r>
    </w:p>
    <w:p>
      <w:pPr>
        <w:spacing w:after="130" w:line="262"/>
        <w:jc w:val="both"/>
      </w:pPr>
      <w:r>
        <w:rPr>
          <w:rFonts w:ascii="Calibri" w:cs="Calibri" w:eastAsia="Calibri" w:hAnsi="Calibri"/>
          <w:sz w:val="22"/>
          <w:szCs w:val="22"/>
        </w:rPr>
        <w:t xml:space="preserve">Our protocols turn the earlier sections into practice. The strategy says what we want to do, the appetite says how much risk we will accept, and the protocols say how. They cover how we assess, manage, record and report risk, and they apply to every department, to staff working from home, and to our third-party providers. Since no one here works on risk full time, we will keep them few and clear rather than build a framework we cannot maintain.</w:t>
      </w:r>
    </w:p>
    <w:p>
      <w:pPr>
        <w:spacing w:after="100" w:before="250"/>
      </w:pPr>
      <w:r>
        <w:rPr>
          <w:rFonts w:ascii="Calibri" w:cs="Calibri" w:eastAsia="Calibri" w:hAnsi="Calibri"/>
          <w:b/>
          <w:bCs/>
          <w:sz w:val="22"/>
          <w:szCs w:val="22"/>
        </w:rPr>
        <w:t xml:space="preserve">THE RANGE OF PROTOCOLS WE WILL PRODUCE</w:t>
      </w:r>
    </w:p>
    <w:p>
      <w:pPr>
        <w:spacing w:after="130" w:line="262"/>
        <w:jc w:val="both"/>
      </w:pPr>
      <w:r>
        <w:rPr>
          <w:rFonts w:ascii="Calibri" w:cs="Calibri" w:eastAsia="Calibri" w:hAnsi="Calibri"/>
          <w:sz w:val="22"/>
          <w:szCs w:val="22"/>
        </w:rPr>
        <w:t xml:space="preserve">Ordered by the exposures found in the Riskiness Index:</w:t>
      </w:r>
    </w:p>
    <w:tbl>
      <w:tblPr>
        <w:tblW w:type="dxa" w:w="9300"/>
        <w:tblBorders>
          <w:top w:val="single" w:color="000000" w:sz="4"/>
          <w:left w:val="single" w:color="000000" w:sz="4"/>
          <w:bottom w:val="single" w:color="000000" w:sz="4"/>
          <w:right w:val="single" w:color="000000" w:sz="4"/>
          <w:insideH w:val="single" w:color="000000" w:sz="4"/>
          <w:insideV w:val="single" w:color="000000" w:sz="4"/>
        </w:tblBorders>
      </w:tblPr>
      <w:tblGrid>
        <w:gridCol w:w="3100"/>
        <w:gridCol w:w="4500"/>
        <w:gridCol w:w="1700"/>
      </w:tblGrid>
      <w:tr>
        <w:trPr>
          <w:tblHeader/>
        </w:trPr>
        <w:tc>
          <w:tcPr>
            <w:tcW w:type="dxa" w:w="3100"/>
            <w:tcMar>
              <w:top w:type="dxa" w:w="70"/>
              <w:left w:type="dxa" w:w="100"/>
              <w:bottom w:type="dxa" w:w="70"/>
              <w:right w:type="dxa" w:w="100"/>
            </w:tcMar>
          </w:tcPr>
          <w:p>
            <w:r>
              <w:rPr>
                <w:rFonts w:ascii="Calibri" w:cs="Calibri" w:eastAsia="Calibri" w:hAnsi="Calibri"/>
                <w:b/>
                <w:bCs/>
                <w:sz w:val="20"/>
                <w:szCs w:val="20"/>
              </w:rPr>
              <w:t xml:space="preserve">Protocol</w:t>
            </w:r>
          </w:p>
        </w:tc>
        <w:tc>
          <w:tcPr>
            <w:tcW w:type="dxa" w:w="4500"/>
            <w:tcMar>
              <w:top w:type="dxa" w:w="70"/>
              <w:left w:type="dxa" w:w="100"/>
              <w:bottom w:type="dxa" w:w="70"/>
              <w:right w:type="dxa" w:w="100"/>
            </w:tcMar>
          </w:tcPr>
          <w:p>
            <w:r>
              <w:rPr>
                <w:rFonts w:ascii="Calibri" w:cs="Calibri" w:eastAsia="Calibri" w:hAnsi="Calibri"/>
                <w:b/>
                <w:bCs/>
                <w:sz w:val="20"/>
                <w:szCs w:val="20"/>
              </w:rPr>
              <w:t xml:space="preserve">Addresses</w:t>
            </w:r>
          </w:p>
        </w:tc>
        <w:tc>
          <w:tcPr>
            <w:tcW w:type="dxa" w:w="1700"/>
            <w:tcMar>
              <w:top w:type="dxa" w:w="70"/>
              <w:left w:type="dxa" w:w="100"/>
              <w:bottom w:type="dxa" w:w="70"/>
              <w:right w:type="dxa" w:w="100"/>
            </w:tcMar>
          </w:tcPr>
          <w:p>
            <w:r>
              <w:rPr>
                <w:rFonts w:ascii="Calibri" w:cs="Calibri" w:eastAsia="Calibri" w:hAnsi="Calibri"/>
                <w:b/>
                <w:bCs/>
                <w:sz w:val="20"/>
                <w:szCs w:val="20"/>
              </w:rPr>
              <w:t xml:space="preserve">Priority</w:t>
            </w:r>
          </w:p>
        </w:tc>
      </w:tr>
      <w:tr>
        <w:tc>
          <w:tcPr>
            <w:tcW w:type="dxa" w:w="3100"/>
            <w:tcMar>
              <w:top w:type="dxa" w:w="70"/>
              <w:left w:type="dxa" w:w="100"/>
              <w:bottom w:type="dxa" w:w="70"/>
              <w:right w:type="dxa" w:w="100"/>
            </w:tcMar>
          </w:tcPr>
          <w:p>
            <w:r>
              <w:rPr>
                <w:rFonts w:ascii="Calibri" w:cs="Calibri" w:eastAsia="Calibri" w:hAnsi="Calibri"/>
                <w:b w:val="false"/>
                <w:bCs w:val="false"/>
                <w:sz w:val="20"/>
                <w:szCs w:val="20"/>
              </w:rPr>
              <w:t xml:space="preserve">Risk assessment standard</w:t>
            </w:r>
          </w:p>
        </w:tc>
        <w:tc>
          <w:tcPr>
            <w:tcW w:type="dxa" w:w="4500"/>
            <w:tcMar>
              <w:top w:type="dxa" w:w="70"/>
              <w:left w:type="dxa" w:w="100"/>
              <w:bottom w:type="dxa" w:w="70"/>
              <w:right w:type="dxa" w:w="100"/>
            </w:tcMar>
          </w:tcPr>
          <w:p>
            <w:r>
              <w:rPr>
                <w:rFonts w:ascii="Calibri" w:cs="Calibri" w:eastAsia="Calibri" w:hAnsi="Calibri"/>
                <w:b w:val="false"/>
                <w:bCs w:val="false"/>
                <w:sz w:val="20"/>
                <w:szCs w:val="20"/>
              </w:rPr>
              <w:t xml:space="preserve">How risks are found, scored, recorded and reviewed</w:t>
            </w:r>
          </w:p>
        </w:tc>
        <w:tc>
          <w:tcPr>
            <w:tcW w:type="dxa" w:w="1700"/>
            <w:tcMar>
              <w:top w:type="dxa" w:w="70"/>
              <w:left w:type="dxa" w:w="100"/>
              <w:bottom w:type="dxa" w:w="70"/>
              <w:right w:type="dxa" w:w="100"/>
            </w:tcMar>
          </w:tcPr>
          <w:p>
            <w:r>
              <w:rPr>
                <w:rFonts w:ascii="Calibri" w:cs="Calibri" w:eastAsia="Calibri" w:hAnsi="Calibri"/>
                <w:b w:val="false"/>
                <w:bCs w:val="false"/>
                <w:sz w:val="20"/>
                <w:szCs w:val="20"/>
              </w:rPr>
              <w:t xml:space="preserve">Immediate</w:t>
            </w:r>
          </w:p>
        </w:tc>
      </w:tr>
      <w:tr>
        <w:tc>
          <w:tcPr>
            <w:tcW w:type="dxa" w:w="3100"/>
            <w:tcMar>
              <w:top w:type="dxa" w:w="70"/>
              <w:left w:type="dxa" w:w="100"/>
              <w:bottom w:type="dxa" w:w="70"/>
              <w:right w:type="dxa" w:w="100"/>
            </w:tcMar>
          </w:tcPr>
          <w:p>
            <w:r>
              <w:rPr>
                <w:rFonts w:ascii="Calibri" w:cs="Calibri" w:eastAsia="Calibri" w:hAnsi="Calibri"/>
                <w:b w:val="false"/>
                <w:bCs w:val="false"/>
                <w:sz w:val="20"/>
                <w:szCs w:val="20"/>
              </w:rPr>
              <w:t xml:space="preserve">Remote access and secure working standard</w:t>
            </w:r>
          </w:p>
        </w:tc>
        <w:tc>
          <w:tcPr>
            <w:tcW w:type="dxa" w:w="4500"/>
            <w:tcMar>
              <w:top w:type="dxa" w:w="70"/>
              <w:left w:type="dxa" w:w="100"/>
              <w:bottom w:type="dxa" w:w="70"/>
              <w:right w:type="dxa" w:w="100"/>
            </w:tcMar>
          </w:tcPr>
          <w:p>
            <w:r>
              <w:rPr>
                <w:rFonts w:ascii="Calibri" w:cs="Calibri" w:eastAsia="Calibri" w:hAnsi="Calibri"/>
                <w:b w:val="false"/>
                <w:bCs w:val="false"/>
                <w:sz w:val="20"/>
                <w:szCs w:val="20"/>
              </w:rPr>
              <w:t xml:space="preserve">IT resilience, our highest individual risk score</w:t>
            </w:r>
          </w:p>
        </w:tc>
        <w:tc>
          <w:tcPr>
            <w:tcW w:type="dxa" w:w="1700"/>
            <w:tcMar>
              <w:top w:type="dxa" w:w="70"/>
              <w:left w:type="dxa" w:w="100"/>
              <w:bottom w:type="dxa" w:w="70"/>
              <w:right w:type="dxa" w:w="100"/>
            </w:tcMar>
          </w:tcPr>
          <w:p>
            <w:r>
              <w:rPr>
                <w:rFonts w:ascii="Calibri" w:cs="Calibri" w:eastAsia="Calibri" w:hAnsi="Calibri"/>
                <w:b w:val="false"/>
                <w:bCs w:val="false"/>
                <w:sz w:val="20"/>
                <w:szCs w:val="20"/>
              </w:rPr>
              <w:t xml:space="preserve">Immediate</w:t>
            </w:r>
          </w:p>
        </w:tc>
      </w:tr>
      <w:tr>
        <w:tc>
          <w:tcPr>
            <w:tcW w:type="dxa" w:w="3100"/>
            <w:tcMar>
              <w:top w:type="dxa" w:w="70"/>
              <w:left w:type="dxa" w:w="100"/>
              <w:bottom w:type="dxa" w:w="70"/>
              <w:right w:type="dxa" w:w="100"/>
            </w:tcMar>
          </w:tcPr>
          <w:p>
            <w:r>
              <w:rPr>
                <w:rFonts w:ascii="Calibri" w:cs="Calibri" w:eastAsia="Calibri" w:hAnsi="Calibri"/>
                <w:b w:val="false"/>
                <w:bCs w:val="false"/>
                <w:sz w:val="20"/>
                <w:szCs w:val="20"/>
              </w:rPr>
              <w:t xml:space="preserve">Information security and data handling procedure</w:t>
            </w:r>
          </w:p>
        </w:tc>
        <w:tc>
          <w:tcPr>
            <w:tcW w:type="dxa" w:w="4500"/>
            <w:tcMar>
              <w:top w:type="dxa" w:w="70"/>
              <w:left w:type="dxa" w:w="100"/>
              <w:bottom w:type="dxa" w:w="70"/>
              <w:right w:type="dxa" w:w="100"/>
            </w:tcMar>
          </w:tcPr>
          <w:p>
            <w:r>
              <w:rPr>
                <w:rFonts w:ascii="Calibri" w:cs="Calibri" w:eastAsia="Calibri" w:hAnsi="Calibri"/>
                <w:b w:val="false"/>
                <w:bCs w:val="false"/>
                <w:sz w:val="20"/>
                <w:szCs w:val="20"/>
              </w:rPr>
              <w:t xml:space="preserve">Data leaks, where our appetite is lowest</w:t>
            </w:r>
          </w:p>
        </w:tc>
        <w:tc>
          <w:tcPr>
            <w:tcW w:type="dxa" w:w="1700"/>
            <w:tcMar>
              <w:top w:type="dxa" w:w="70"/>
              <w:left w:type="dxa" w:w="100"/>
              <w:bottom w:type="dxa" w:w="70"/>
              <w:right w:type="dxa" w:w="100"/>
            </w:tcMar>
          </w:tcPr>
          <w:p>
            <w:r>
              <w:rPr>
                <w:rFonts w:ascii="Calibri" w:cs="Calibri" w:eastAsia="Calibri" w:hAnsi="Calibri"/>
                <w:b w:val="false"/>
                <w:bCs w:val="false"/>
                <w:sz w:val="20"/>
                <w:szCs w:val="20"/>
              </w:rPr>
              <w:t xml:space="preserve">Immediate</w:t>
            </w:r>
          </w:p>
        </w:tc>
      </w:tr>
      <w:tr>
        <w:tc>
          <w:tcPr>
            <w:tcW w:type="dxa" w:w="3100"/>
            <w:tcMar>
              <w:top w:type="dxa" w:w="70"/>
              <w:left w:type="dxa" w:w="100"/>
              <w:bottom w:type="dxa" w:w="70"/>
              <w:right w:type="dxa" w:w="100"/>
            </w:tcMar>
          </w:tcPr>
          <w:p>
            <w:r>
              <w:rPr>
                <w:rFonts w:ascii="Calibri" w:cs="Calibri" w:eastAsia="Calibri" w:hAnsi="Calibri"/>
                <w:b w:val="false"/>
                <w:bCs w:val="false"/>
                <w:sz w:val="20"/>
                <w:szCs w:val="20"/>
              </w:rPr>
              <w:t xml:space="preserve">Incident reporting and escalation procedure</w:t>
            </w:r>
          </w:p>
        </w:tc>
        <w:tc>
          <w:tcPr>
            <w:tcW w:type="dxa" w:w="4500"/>
            <w:tcMar>
              <w:top w:type="dxa" w:w="70"/>
              <w:left w:type="dxa" w:w="100"/>
              <w:bottom w:type="dxa" w:w="70"/>
              <w:right w:type="dxa" w:w="100"/>
            </w:tcMar>
          </w:tcPr>
          <w:p>
            <w:r>
              <w:rPr>
                <w:rFonts w:ascii="Calibri" w:cs="Calibri" w:eastAsia="Calibri" w:hAnsi="Calibri"/>
                <w:b w:val="false"/>
                <w:bCs w:val="false"/>
                <w:sz w:val="20"/>
                <w:szCs w:val="20"/>
              </w:rPr>
              <w:t xml:space="preserve">Who is told, who can act, what needs approval</w:t>
            </w:r>
          </w:p>
        </w:tc>
        <w:tc>
          <w:tcPr>
            <w:tcW w:type="dxa" w:w="1700"/>
            <w:tcMar>
              <w:top w:type="dxa" w:w="70"/>
              <w:left w:type="dxa" w:w="100"/>
              <w:bottom w:type="dxa" w:w="70"/>
              <w:right w:type="dxa" w:w="100"/>
            </w:tcMar>
          </w:tcPr>
          <w:p>
            <w:r>
              <w:rPr>
                <w:rFonts w:ascii="Calibri" w:cs="Calibri" w:eastAsia="Calibri" w:hAnsi="Calibri"/>
                <w:b w:val="false"/>
                <w:bCs w:val="false"/>
                <w:sz w:val="20"/>
                <w:szCs w:val="20"/>
              </w:rPr>
              <w:t xml:space="preserve">Immediate</w:t>
            </w:r>
          </w:p>
        </w:tc>
      </w:tr>
      <w:tr>
        <w:tc>
          <w:tcPr>
            <w:tcW w:type="dxa" w:w="3100"/>
            <w:tcMar>
              <w:top w:type="dxa" w:w="70"/>
              <w:left w:type="dxa" w:w="100"/>
              <w:bottom w:type="dxa" w:w="70"/>
              <w:right w:type="dxa" w:w="100"/>
            </w:tcMar>
          </w:tcPr>
          <w:p>
            <w:r>
              <w:rPr>
                <w:rFonts w:ascii="Calibri" w:cs="Calibri" w:eastAsia="Calibri" w:hAnsi="Calibri"/>
                <w:b w:val="false"/>
                <w:bCs w:val="false"/>
                <w:sz w:val="20"/>
                <w:szCs w:val="20"/>
              </w:rPr>
              <w:t xml:space="preserve">Health, safety and wellbeing procedure</w:t>
            </w:r>
          </w:p>
        </w:tc>
        <w:tc>
          <w:tcPr>
            <w:tcW w:type="dxa" w:w="4500"/>
            <w:tcMar>
              <w:top w:type="dxa" w:w="70"/>
              <w:left w:type="dxa" w:w="100"/>
              <w:bottom w:type="dxa" w:w="70"/>
              <w:right w:type="dxa" w:w="100"/>
            </w:tcMar>
          </w:tcPr>
          <w:p>
            <w:r>
              <w:rPr>
                <w:rFonts w:ascii="Calibri" w:cs="Calibri" w:eastAsia="Calibri" w:hAnsi="Calibri"/>
                <w:b w:val="false"/>
                <w:bCs w:val="false"/>
                <w:sz w:val="20"/>
                <w:szCs w:val="20"/>
              </w:rPr>
              <w:t xml:space="preserve">Employee safety and public health guidance</w:t>
            </w:r>
          </w:p>
        </w:tc>
        <w:tc>
          <w:tcPr>
            <w:tcW w:type="dxa" w:w="1700"/>
            <w:tcMar>
              <w:top w:type="dxa" w:w="70"/>
              <w:left w:type="dxa" w:w="100"/>
              <w:bottom w:type="dxa" w:w="70"/>
              <w:right w:type="dxa" w:w="100"/>
            </w:tcMar>
          </w:tcPr>
          <w:p>
            <w:r>
              <w:rPr>
                <w:rFonts w:ascii="Calibri" w:cs="Calibri" w:eastAsia="Calibri" w:hAnsi="Calibri"/>
                <w:b w:val="false"/>
                <w:bCs w:val="false"/>
                <w:sz w:val="20"/>
                <w:szCs w:val="20"/>
              </w:rPr>
              <w:t xml:space="preserve">Immediate</w:t>
            </w:r>
          </w:p>
        </w:tc>
      </w:tr>
      <w:tr>
        <w:tc>
          <w:tcPr>
            <w:tcW w:type="dxa" w:w="3100"/>
            <w:tcMar>
              <w:top w:type="dxa" w:w="70"/>
              <w:left w:type="dxa" w:w="100"/>
              <w:bottom w:type="dxa" w:w="70"/>
              <w:right w:type="dxa" w:w="100"/>
            </w:tcMar>
          </w:tcPr>
          <w:p>
            <w:r>
              <w:rPr>
                <w:rFonts w:ascii="Calibri" w:cs="Calibri" w:eastAsia="Calibri" w:hAnsi="Calibri"/>
                <w:b w:val="false"/>
                <w:bCs w:val="false"/>
                <w:sz w:val="20"/>
                <w:szCs w:val="20"/>
              </w:rPr>
              <w:t xml:space="preserve">Business continuity and recovery standard</w:t>
            </w:r>
          </w:p>
        </w:tc>
        <w:tc>
          <w:tcPr>
            <w:tcW w:type="dxa" w:w="4500"/>
            <w:tcMar>
              <w:top w:type="dxa" w:w="70"/>
              <w:left w:type="dxa" w:w="100"/>
              <w:bottom w:type="dxa" w:w="70"/>
              <w:right w:type="dxa" w:w="100"/>
            </w:tcMar>
          </w:tcPr>
          <w:p>
            <w:r>
              <w:rPr>
                <w:rFonts w:ascii="Calibri" w:cs="Calibri" w:eastAsia="Calibri" w:hAnsi="Calibri"/>
                <w:b w:val="false"/>
                <w:bCs w:val="false"/>
                <w:sz w:val="20"/>
                <w:szCs w:val="20"/>
              </w:rPr>
              <w:t xml:space="preserve">Loss of IT, network, power or building access</w:t>
            </w:r>
          </w:p>
        </w:tc>
        <w:tc>
          <w:tcPr>
            <w:tcW w:type="dxa" w:w="1700"/>
            <w:tcMar>
              <w:top w:type="dxa" w:w="70"/>
              <w:left w:type="dxa" w:w="100"/>
              <w:bottom w:type="dxa" w:w="70"/>
              <w:right w:type="dxa" w:w="100"/>
            </w:tcMar>
          </w:tcPr>
          <w:p>
            <w:r>
              <w:rPr>
                <w:rFonts w:ascii="Calibri" w:cs="Calibri" w:eastAsia="Calibri" w:hAnsi="Calibri"/>
                <w:b w:val="false"/>
                <w:bCs w:val="false"/>
                <w:sz w:val="20"/>
                <w:szCs w:val="20"/>
              </w:rPr>
              <w:t xml:space="preserve">First three months</w:t>
            </w:r>
          </w:p>
        </w:tc>
      </w:tr>
      <w:tr>
        <w:tc>
          <w:tcPr>
            <w:tcW w:type="dxa" w:w="3100"/>
            <w:tcMar>
              <w:top w:type="dxa" w:w="70"/>
              <w:left w:type="dxa" w:w="100"/>
              <w:bottom w:type="dxa" w:w="70"/>
              <w:right w:type="dxa" w:w="100"/>
            </w:tcMar>
          </w:tcPr>
          <w:p>
            <w:r>
              <w:rPr>
                <w:rFonts w:ascii="Calibri" w:cs="Calibri" w:eastAsia="Calibri" w:hAnsi="Calibri"/>
                <w:b w:val="false"/>
                <w:bCs w:val="false"/>
                <w:sz w:val="20"/>
                <w:szCs w:val="20"/>
              </w:rPr>
              <w:t xml:space="preserve">Third-party and outsourcing management procedure</w:t>
            </w:r>
          </w:p>
        </w:tc>
        <w:tc>
          <w:tcPr>
            <w:tcW w:type="dxa" w:w="4500"/>
            <w:tcMar>
              <w:top w:type="dxa" w:w="70"/>
              <w:left w:type="dxa" w:w="100"/>
              <w:bottom w:type="dxa" w:w="70"/>
              <w:right w:type="dxa" w:w="100"/>
            </w:tcMar>
          </w:tcPr>
          <w:p>
            <w:r>
              <w:rPr>
                <w:rFonts w:ascii="Calibri" w:cs="Calibri" w:eastAsia="Calibri" w:hAnsi="Calibri"/>
                <w:b w:val="false"/>
                <w:bCs w:val="false"/>
                <w:sz w:val="20"/>
                <w:szCs w:val="20"/>
              </w:rPr>
              <w:t xml:space="preserve">Hosting, backup, security, legal and mailing services</w:t>
            </w:r>
          </w:p>
        </w:tc>
        <w:tc>
          <w:tcPr>
            <w:tcW w:type="dxa" w:w="1700"/>
            <w:tcMar>
              <w:top w:type="dxa" w:w="70"/>
              <w:left w:type="dxa" w:w="100"/>
              <w:bottom w:type="dxa" w:w="70"/>
              <w:right w:type="dxa" w:w="100"/>
            </w:tcMar>
          </w:tcPr>
          <w:p>
            <w:r>
              <w:rPr>
                <w:rFonts w:ascii="Calibri" w:cs="Calibri" w:eastAsia="Calibri" w:hAnsi="Calibri"/>
                <w:b w:val="false"/>
                <w:bCs w:val="false"/>
                <w:sz w:val="20"/>
                <w:szCs w:val="20"/>
              </w:rPr>
              <w:t xml:space="preserve">First three months</w:t>
            </w:r>
          </w:p>
        </w:tc>
      </w:tr>
      <w:tr>
        <w:tc>
          <w:tcPr>
            <w:tcW w:type="dxa" w:w="3100"/>
            <w:tcMar>
              <w:top w:type="dxa" w:w="70"/>
              <w:left w:type="dxa" w:w="100"/>
              <w:bottom w:type="dxa" w:w="70"/>
              <w:right w:type="dxa" w:w="100"/>
            </w:tcMar>
          </w:tcPr>
          <w:p>
            <w:r>
              <w:rPr>
                <w:rFonts w:ascii="Calibri" w:cs="Calibri" w:eastAsia="Calibri" w:hAnsi="Calibri"/>
                <w:b w:val="false"/>
                <w:bCs w:val="false"/>
                <w:sz w:val="20"/>
                <w:szCs w:val="20"/>
              </w:rPr>
              <w:t xml:space="preserve">Service continuity and claims handling procedure</w:t>
            </w:r>
          </w:p>
        </w:tc>
        <w:tc>
          <w:tcPr>
            <w:tcW w:type="dxa" w:w="4500"/>
            <w:tcMar>
              <w:top w:type="dxa" w:w="70"/>
              <w:left w:type="dxa" w:w="100"/>
              <w:bottom w:type="dxa" w:w="70"/>
              <w:right w:type="dxa" w:w="100"/>
            </w:tcMar>
          </w:tcPr>
          <w:p>
            <w:r>
              <w:rPr>
                <w:rFonts w:ascii="Calibri" w:cs="Calibri" w:eastAsia="Calibri" w:hAnsi="Calibri"/>
                <w:b w:val="false"/>
                <w:bCs w:val="false"/>
                <w:sz w:val="20"/>
                <w:szCs w:val="20"/>
              </w:rPr>
              <w:t xml:space="preserve">Delayed claims, response times, service outages</w:t>
            </w:r>
          </w:p>
        </w:tc>
        <w:tc>
          <w:tcPr>
            <w:tcW w:type="dxa" w:w="1700"/>
            <w:tcMar>
              <w:top w:type="dxa" w:w="70"/>
              <w:left w:type="dxa" w:w="100"/>
              <w:bottom w:type="dxa" w:w="70"/>
              <w:right w:type="dxa" w:w="100"/>
            </w:tcMar>
          </w:tcPr>
          <w:p>
            <w:r>
              <w:rPr>
                <w:rFonts w:ascii="Calibri" w:cs="Calibri" w:eastAsia="Calibri" w:hAnsi="Calibri"/>
                <w:b w:val="false"/>
                <w:bCs w:val="false"/>
                <w:sz w:val="20"/>
                <w:szCs w:val="20"/>
              </w:rPr>
              <w:t xml:space="preserve">First three months</w:t>
            </w:r>
          </w:p>
        </w:tc>
      </w:tr>
      <w:tr>
        <w:tc>
          <w:tcPr>
            <w:tcW w:type="dxa" w:w="3100"/>
            <w:tcMar>
              <w:top w:type="dxa" w:w="70"/>
              <w:left w:type="dxa" w:w="100"/>
              <w:bottom w:type="dxa" w:w="70"/>
              <w:right w:type="dxa" w:w="100"/>
            </w:tcMar>
          </w:tcPr>
          <w:p>
            <w:r>
              <w:rPr>
                <w:rFonts w:ascii="Calibri" w:cs="Calibri" w:eastAsia="Calibri" w:hAnsi="Calibri"/>
                <w:b w:val="false"/>
                <w:bCs w:val="false"/>
                <w:sz w:val="20"/>
                <w:szCs w:val="20"/>
              </w:rPr>
              <w:t xml:space="preserve">Financial control and liquidity monitoring procedure</w:t>
            </w:r>
          </w:p>
        </w:tc>
        <w:tc>
          <w:tcPr>
            <w:tcW w:type="dxa" w:w="4500"/>
            <w:tcMar>
              <w:top w:type="dxa" w:w="70"/>
              <w:left w:type="dxa" w:w="100"/>
              <w:bottom w:type="dxa" w:w="70"/>
              <w:right w:type="dxa" w:w="100"/>
            </w:tcMar>
          </w:tcPr>
          <w:p>
            <w:r>
              <w:rPr>
                <w:rFonts w:ascii="Calibri" w:cs="Calibri" w:eastAsia="Calibri" w:hAnsi="Calibri"/>
                <w:b w:val="false"/>
                <w:bCs w:val="false"/>
                <w:sz w:val="20"/>
                <w:szCs w:val="20"/>
              </w:rPr>
              <w:t xml:space="preserve">Internal controls and reserve adequacy</w:t>
            </w:r>
          </w:p>
        </w:tc>
        <w:tc>
          <w:tcPr>
            <w:tcW w:type="dxa" w:w="1700"/>
            <w:tcMar>
              <w:top w:type="dxa" w:w="70"/>
              <w:left w:type="dxa" w:w="100"/>
              <w:bottom w:type="dxa" w:w="70"/>
              <w:right w:type="dxa" w:w="100"/>
            </w:tcMar>
          </w:tcPr>
          <w:p>
            <w:r>
              <w:rPr>
                <w:rFonts w:ascii="Calibri" w:cs="Calibri" w:eastAsia="Calibri" w:hAnsi="Calibri"/>
                <w:b w:val="false"/>
                <w:bCs w:val="false"/>
                <w:sz w:val="20"/>
                <w:szCs w:val="20"/>
              </w:rPr>
              <w:t xml:space="preserve">First three months</w:t>
            </w:r>
          </w:p>
        </w:tc>
      </w:tr>
    </w:tbl>
    <w:p>
      <w:pPr>
        <w:spacing w:after="80"/>
      </w:pPr>
      <w:r>
        <w:rPr>
          <w:rFonts w:ascii="Calibri" w:cs="Calibri" w:eastAsia="Calibri" w:hAnsi="Calibri"/>
          <w:sz w:val="12"/>
          <w:szCs w:val="12"/>
        </w:rPr>
        <w:t xml:space="preserve"> </w:t>
      </w:r>
    </w:p>
    <w:p>
      <w:pPr>
        <w:spacing w:after="130" w:line="262"/>
        <w:jc w:val="both"/>
      </w:pPr>
      <w:r>
        <w:rPr>
          <w:rFonts w:ascii="Calibri" w:cs="Calibri" w:eastAsia="Calibri" w:hAnsi="Calibri"/>
          <w:sz w:val="22"/>
          <w:szCs w:val="22"/>
        </w:rPr>
        <w:t xml:space="preserve">Each protocol will have an owner from the crisis leadership team and will state what it requires and what records it creates. Where Tiva already has an equivalent standard, we will use theirs instead of writing our own, after checking it meets Ontario rules.</w:t>
      </w:r>
    </w:p>
    <w:p>
      <w:pPr>
        <w:spacing w:after="100" w:before="250"/>
      </w:pPr>
      <w:r>
        <w:rPr>
          <w:rFonts w:ascii="Calibri" w:cs="Calibri" w:eastAsia="Calibri" w:hAnsi="Calibri"/>
          <w:b/>
          <w:bCs/>
          <w:sz w:val="22"/>
          <w:szCs w:val="22"/>
        </w:rPr>
        <w:t xml:space="preserve">HOW RISK ASSESSMENTS WILL BE DONE</w:t>
      </w:r>
    </w:p>
    <w:p>
      <w:pPr>
        <w:spacing w:after="130" w:line="262"/>
        <w:jc w:val="both"/>
      </w:pPr>
      <w:r>
        <w:rPr>
          <w:rFonts w:ascii="Calibri" w:cs="Calibri" w:eastAsia="Calibri" w:hAnsi="Calibri"/>
          <w:sz w:val="22"/>
          <w:szCs w:val="22"/>
        </w:rPr>
        <w:t xml:space="preserve">We will use the same scale as the Riskiness Index. Each risk scores 1 to 5 for likelihood and 1 to 5 for impact, multiplied to give a rating from 1 to 25.</w:t>
      </w:r>
    </w:p>
    <w:tbl>
      <w:tblPr>
        <w:tblW w:type="dxa" w:w="9300"/>
        <w:tblBorders>
          <w:top w:val="single" w:color="000000" w:sz="4"/>
          <w:left w:val="single" w:color="000000" w:sz="4"/>
          <w:bottom w:val="single" w:color="000000" w:sz="4"/>
          <w:right w:val="single" w:color="000000" w:sz="4"/>
          <w:insideH w:val="single" w:color="000000" w:sz="4"/>
          <w:insideV w:val="single" w:color="000000" w:sz="4"/>
        </w:tblBorders>
      </w:tblPr>
      <w:tblGrid>
        <w:gridCol w:w="1300"/>
        <w:gridCol w:w="1500"/>
        <w:gridCol w:w="6500"/>
      </w:tblGrid>
      <w:tr>
        <w:trPr>
          <w:tblHeader/>
        </w:trPr>
        <w:tc>
          <w:tcPr>
            <w:tcW w:type="dxa" w:w="1300"/>
            <w:tcMar>
              <w:top w:type="dxa" w:w="70"/>
              <w:left w:type="dxa" w:w="100"/>
              <w:bottom w:type="dxa" w:w="70"/>
              <w:right w:type="dxa" w:w="100"/>
            </w:tcMar>
          </w:tcPr>
          <w:p>
            <w:r>
              <w:rPr>
                <w:rFonts w:ascii="Calibri" w:cs="Calibri" w:eastAsia="Calibri" w:hAnsi="Calibri"/>
                <w:b/>
                <w:bCs/>
                <w:sz w:val="20"/>
                <w:szCs w:val="20"/>
              </w:rPr>
              <w:t xml:space="preserve">Rating</w:t>
            </w:r>
          </w:p>
        </w:tc>
        <w:tc>
          <w:tcPr>
            <w:tcW w:type="dxa" w:w="1500"/>
            <w:tcMar>
              <w:top w:type="dxa" w:w="70"/>
              <w:left w:type="dxa" w:w="100"/>
              <w:bottom w:type="dxa" w:w="70"/>
              <w:right w:type="dxa" w:w="100"/>
            </w:tcMar>
          </w:tcPr>
          <w:p>
            <w:r>
              <w:rPr>
                <w:rFonts w:ascii="Calibri" w:cs="Calibri" w:eastAsia="Calibri" w:hAnsi="Calibri"/>
                <w:b/>
                <w:bCs/>
                <w:sz w:val="20"/>
                <w:szCs w:val="20"/>
              </w:rPr>
              <w:t xml:space="preserve">Band</w:t>
            </w:r>
          </w:p>
        </w:tc>
        <w:tc>
          <w:tcPr>
            <w:tcW w:type="dxa" w:w="6500"/>
            <w:tcMar>
              <w:top w:type="dxa" w:w="70"/>
              <w:left w:type="dxa" w:w="100"/>
              <w:bottom w:type="dxa" w:w="70"/>
              <w:right w:type="dxa" w:w="100"/>
            </w:tcMar>
          </w:tcPr>
          <w:p>
            <w:r>
              <w:rPr>
                <w:rFonts w:ascii="Calibri" w:cs="Calibri" w:eastAsia="Calibri" w:hAnsi="Calibri"/>
                <w:b/>
                <w:bCs/>
                <w:sz w:val="20"/>
                <w:szCs w:val="20"/>
              </w:rPr>
              <w:t xml:space="preserve">Required response</w:t>
            </w:r>
          </w:p>
        </w:tc>
      </w:tr>
      <w:tr>
        <w:tc>
          <w:tcPr>
            <w:tcW w:type="dxa" w:w="1300"/>
            <w:tcMar>
              <w:top w:type="dxa" w:w="70"/>
              <w:left w:type="dxa" w:w="100"/>
              <w:bottom w:type="dxa" w:w="70"/>
              <w:right w:type="dxa" w:w="100"/>
            </w:tcMar>
          </w:tcPr>
          <w:p>
            <w:r>
              <w:rPr>
                <w:rFonts w:ascii="Calibri" w:cs="Calibri" w:eastAsia="Calibri" w:hAnsi="Calibri"/>
                <w:b w:val="false"/>
                <w:bCs w:val="false"/>
                <w:sz w:val="20"/>
                <w:szCs w:val="20"/>
              </w:rPr>
              <w:t xml:space="preserve">15–25</w:t>
            </w:r>
          </w:p>
        </w:tc>
        <w:tc>
          <w:tcPr>
            <w:tcW w:type="dxa" w:w="1500"/>
            <w:tcMar>
              <w:top w:type="dxa" w:w="70"/>
              <w:left w:type="dxa" w:w="100"/>
              <w:bottom w:type="dxa" w:w="70"/>
              <w:right w:type="dxa" w:w="100"/>
            </w:tcMar>
          </w:tcPr>
          <w:p>
            <w:r>
              <w:rPr>
                <w:rFonts w:ascii="Calibri" w:cs="Calibri" w:eastAsia="Calibri" w:hAnsi="Calibri"/>
                <w:b w:val="false"/>
                <w:bCs w:val="false"/>
                <w:sz w:val="20"/>
                <w:szCs w:val="20"/>
              </w:rPr>
              <w:t xml:space="preserve">Extreme</w:t>
            </w:r>
          </w:p>
        </w:tc>
        <w:tc>
          <w:tcPr>
            <w:tcW w:type="dxa" w:w="6500"/>
            <w:tcMar>
              <w:top w:type="dxa" w:w="70"/>
              <w:left w:type="dxa" w:w="100"/>
              <w:bottom w:type="dxa" w:w="70"/>
              <w:right w:type="dxa" w:w="100"/>
            </w:tcMar>
          </w:tcPr>
          <w:p>
            <w:r>
              <w:rPr>
                <w:rFonts w:ascii="Calibri" w:cs="Calibri" w:eastAsia="Calibri" w:hAnsi="Calibri"/>
                <w:b w:val="false"/>
                <w:bCs w:val="false"/>
                <w:sz w:val="20"/>
                <w:szCs w:val="20"/>
              </w:rPr>
              <w:t xml:space="preserve">Escalate to executive management; treatment plan before next review</w:t>
            </w:r>
          </w:p>
        </w:tc>
      </w:tr>
      <w:tr>
        <w:tc>
          <w:tcPr>
            <w:tcW w:type="dxa" w:w="1300"/>
            <w:tcMar>
              <w:top w:type="dxa" w:w="70"/>
              <w:left w:type="dxa" w:w="100"/>
              <w:bottom w:type="dxa" w:w="70"/>
              <w:right w:type="dxa" w:w="100"/>
            </w:tcMar>
          </w:tcPr>
          <w:p>
            <w:r>
              <w:rPr>
                <w:rFonts w:ascii="Calibri" w:cs="Calibri" w:eastAsia="Calibri" w:hAnsi="Calibri"/>
                <w:b w:val="false"/>
                <w:bCs w:val="false"/>
                <w:sz w:val="20"/>
                <w:szCs w:val="20"/>
              </w:rPr>
              <w:t xml:space="preserve">10–14</w:t>
            </w:r>
          </w:p>
        </w:tc>
        <w:tc>
          <w:tcPr>
            <w:tcW w:type="dxa" w:w="1500"/>
            <w:tcMar>
              <w:top w:type="dxa" w:w="70"/>
              <w:left w:type="dxa" w:w="100"/>
              <w:bottom w:type="dxa" w:w="70"/>
              <w:right w:type="dxa" w:w="100"/>
            </w:tcMar>
          </w:tcPr>
          <w:p>
            <w:r>
              <w:rPr>
                <w:rFonts w:ascii="Calibri" w:cs="Calibri" w:eastAsia="Calibri" w:hAnsi="Calibri"/>
                <w:b w:val="false"/>
                <w:bCs w:val="false"/>
                <w:sz w:val="20"/>
                <w:szCs w:val="20"/>
              </w:rPr>
              <w:t xml:space="preserve">High</w:t>
            </w:r>
          </w:p>
        </w:tc>
        <w:tc>
          <w:tcPr>
            <w:tcW w:type="dxa" w:w="6500"/>
            <w:tcMar>
              <w:top w:type="dxa" w:w="70"/>
              <w:left w:type="dxa" w:w="100"/>
              <w:bottom w:type="dxa" w:w="70"/>
              <w:right w:type="dxa" w:w="100"/>
            </w:tcMar>
          </w:tcPr>
          <w:p>
            <w:r>
              <w:rPr>
                <w:rFonts w:ascii="Calibri" w:cs="Calibri" w:eastAsia="Calibri" w:hAnsi="Calibri"/>
                <w:b w:val="false"/>
                <w:bCs w:val="false"/>
                <w:sz w:val="20"/>
                <w:szCs w:val="20"/>
              </w:rPr>
              <w:t xml:space="preserve">Crisis leadership team approves treatment; reviewed weekly</w:t>
            </w:r>
          </w:p>
        </w:tc>
      </w:tr>
      <w:tr>
        <w:tc>
          <w:tcPr>
            <w:tcW w:type="dxa" w:w="1300"/>
            <w:tcMar>
              <w:top w:type="dxa" w:w="70"/>
              <w:left w:type="dxa" w:w="100"/>
              <w:bottom w:type="dxa" w:w="70"/>
              <w:right w:type="dxa" w:w="100"/>
            </w:tcMar>
          </w:tcPr>
          <w:p>
            <w:r>
              <w:rPr>
                <w:rFonts w:ascii="Calibri" w:cs="Calibri" w:eastAsia="Calibri" w:hAnsi="Calibri"/>
                <w:b w:val="false"/>
                <w:bCs w:val="false"/>
                <w:sz w:val="20"/>
                <w:szCs w:val="20"/>
              </w:rPr>
              <w:t xml:space="preserve">5–9</w:t>
            </w:r>
          </w:p>
        </w:tc>
        <w:tc>
          <w:tcPr>
            <w:tcW w:type="dxa" w:w="1500"/>
            <w:tcMar>
              <w:top w:type="dxa" w:w="70"/>
              <w:left w:type="dxa" w:w="100"/>
              <w:bottom w:type="dxa" w:w="70"/>
              <w:right w:type="dxa" w:w="100"/>
            </w:tcMar>
          </w:tcPr>
          <w:p>
            <w:r>
              <w:rPr>
                <w:rFonts w:ascii="Calibri" w:cs="Calibri" w:eastAsia="Calibri" w:hAnsi="Calibri"/>
                <w:b w:val="false"/>
                <w:bCs w:val="false"/>
                <w:sz w:val="20"/>
                <w:szCs w:val="20"/>
              </w:rPr>
              <w:t xml:space="preserve">Moderate</w:t>
            </w:r>
          </w:p>
        </w:tc>
        <w:tc>
          <w:tcPr>
            <w:tcW w:type="dxa" w:w="6500"/>
            <w:tcMar>
              <w:top w:type="dxa" w:w="70"/>
              <w:left w:type="dxa" w:w="100"/>
              <w:bottom w:type="dxa" w:w="70"/>
              <w:right w:type="dxa" w:w="100"/>
            </w:tcMar>
          </w:tcPr>
          <w:p>
            <w:r>
              <w:rPr>
                <w:rFonts w:ascii="Calibri" w:cs="Calibri" w:eastAsia="Calibri" w:hAnsi="Calibri"/>
                <w:b w:val="false"/>
                <w:bCs w:val="false"/>
                <w:sz w:val="20"/>
                <w:szCs w:val="20"/>
              </w:rPr>
              <w:t xml:space="preserve">Managed by the risk owner; reviewed monthly</w:t>
            </w:r>
          </w:p>
        </w:tc>
      </w:tr>
      <w:tr>
        <w:tc>
          <w:tcPr>
            <w:tcW w:type="dxa" w:w="1300"/>
            <w:tcMar>
              <w:top w:type="dxa" w:w="70"/>
              <w:left w:type="dxa" w:w="100"/>
              <w:bottom w:type="dxa" w:w="70"/>
              <w:right w:type="dxa" w:w="100"/>
            </w:tcMar>
          </w:tcPr>
          <w:p>
            <w:r>
              <w:rPr>
                <w:rFonts w:ascii="Calibri" w:cs="Calibri" w:eastAsia="Calibri" w:hAnsi="Calibri"/>
                <w:b w:val="false"/>
                <w:bCs w:val="false"/>
                <w:sz w:val="20"/>
                <w:szCs w:val="20"/>
              </w:rPr>
              <w:t xml:space="preserve">1–4</w:t>
            </w:r>
          </w:p>
        </w:tc>
        <w:tc>
          <w:tcPr>
            <w:tcW w:type="dxa" w:w="1500"/>
            <w:tcMar>
              <w:top w:type="dxa" w:w="70"/>
              <w:left w:type="dxa" w:w="100"/>
              <w:bottom w:type="dxa" w:w="70"/>
              <w:right w:type="dxa" w:w="100"/>
            </w:tcMar>
          </w:tcPr>
          <w:p>
            <w:r>
              <w:rPr>
                <w:rFonts w:ascii="Calibri" w:cs="Calibri" w:eastAsia="Calibri" w:hAnsi="Calibri"/>
                <w:b w:val="false"/>
                <w:bCs w:val="false"/>
                <w:sz w:val="20"/>
                <w:szCs w:val="20"/>
              </w:rPr>
              <w:t xml:space="preserve">Low</w:t>
            </w:r>
          </w:p>
        </w:tc>
        <w:tc>
          <w:tcPr>
            <w:tcW w:type="dxa" w:w="6500"/>
            <w:tcMar>
              <w:top w:type="dxa" w:w="70"/>
              <w:left w:type="dxa" w:w="100"/>
              <w:bottom w:type="dxa" w:w="70"/>
              <w:right w:type="dxa" w:w="100"/>
            </w:tcMar>
          </w:tcPr>
          <w:p>
            <w:r>
              <w:rPr>
                <w:rFonts w:ascii="Calibri" w:cs="Calibri" w:eastAsia="Calibri" w:hAnsi="Calibri"/>
                <w:b w:val="false"/>
                <w:bCs w:val="false"/>
                <w:sz w:val="20"/>
                <w:szCs w:val="20"/>
              </w:rPr>
              <w:t xml:space="preserve">Accepted and monitored; reviewed quarterly</w:t>
            </w:r>
          </w:p>
        </w:tc>
      </w:tr>
    </w:tbl>
    <w:p>
      <w:pPr>
        <w:spacing w:after="80"/>
      </w:pPr>
      <w:r>
        <w:rPr>
          <w:rFonts w:ascii="Calibri" w:cs="Calibri" w:eastAsia="Calibri" w:hAnsi="Calibri"/>
          <w:sz w:val="12"/>
          <w:szCs w:val="12"/>
        </w:rPr>
        <w:t xml:space="preserve"> </w:t>
      </w:r>
    </w:p>
    <w:p>
      <w:pPr>
        <w:spacing w:after="130" w:line="262"/>
        <w:jc w:val="both"/>
      </w:pPr>
      <w:r>
        <w:rPr>
          <w:rFonts w:ascii="Calibri" w:cs="Calibri" w:eastAsia="Calibri" w:hAnsi="Calibri"/>
          <w:sz w:val="22"/>
          <w:szCs w:val="22"/>
        </w:rPr>
        <w:t xml:space="preserve">Impact is scored against the four areas of the index and recorded under the one most affected, noting where a risk hits more than one. This matters because our exposures connect: an IT failure would affect claims, customer data and trust at once. Each assessment records the rating before controls and the rating left after them, so management can see what our controls actually achieve. If the remaining risk is still outside our appetite, we escalate rather than close it.</w:t>
      </w:r>
    </w:p>
    <w:p>
      <w:pPr>
        <w:spacing w:after="130" w:line="262"/>
        <w:jc w:val="both"/>
      </w:pPr>
      <w:r>
        <w:rPr>
          <w:rFonts w:ascii="Calibri" w:cs="Calibri" w:eastAsia="Calibri" w:hAnsi="Calibri"/>
          <w:sz w:val="22"/>
          <w:szCs w:val="22"/>
        </w:rPr>
        <w:t xml:space="preserve">Managers assess the risks in their own processes, supported by the risk coordinator. They reassess when working arrangements change, a third-party service starts or stops, a limit is broken or nearly broken, an incident occurs, or regulations change. Otherwise each risk is reviewed as often as its band requires.</w:t>
      </w:r>
    </w:p>
    <w:p>
      <w:pPr>
        <w:spacing w:after="100" w:before="250"/>
      </w:pPr>
      <w:r>
        <w:rPr>
          <w:rFonts w:ascii="Calibri" w:cs="Calibri" w:eastAsia="Calibri" w:hAnsi="Calibri"/>
          <w:b/>
          <w:bCs/>
          <w:sz w:val="22"/>
          <w:szCs w:val="22"/>
        </w:rPr>
        <w:t xml:space="preserve">HOW RISKS WILL BE MANAGED</w:t>
      </w:r>
    </w:p>
    <w:p>
      <w:pPr>
        <w:spacing w:after="130" w:line="262"/>
        <w:jc w:val="both"/>
      </w:pPr>
      <w:r>
        <w:rPr>
          <w:rFonts w:ascii="Calibri" w:cs="Calibri" w:eastAsia="Calibri" w:hAnsi="Calibri"/>
          <w:sz w:val="22"/>
          <w:szCs w:val="22"/>
        </w:rPr>
        <w:t xml:space="preserve">For every risk above the low band the owner picks one response: accept it within appetite, reduce it with controls, transfer it through insurance, reinsurance or contract, or stop the activity. The choice weighs the reduction gained against the cost of the control, following the Risk Resources approach. Two rules hold throughout. Transferring a risk by contract does not transfer our responsibility, because customers and regulators hold us accountable either way. And we accept only risks our reserves and cash can cover.</w:t>
      </w:r>
    </w:p>
    <w:p>
      <w:pPr>
        <w:spacing w:after="100" w:before="250"/>
      </w:pPr>
      <w:r>
        <w:rPr>
          <w:rFonts w:ascii="Calibri" w:cs="Calibri" w:eastAsia="Calibri" w:hAnsi="Calibri"/>
          <w:b/>
          <w:bCs/>
          <w:sz w:val="22"/>
          <w:szCs w:val="22"/>
        </w:rPr>
        <w:t xml:space="preserve">HOW RISKS WILL BE RECORDED</w:t>
      </w:r>
    </w:p>
    <w:p>
      <w:pPr>
        <w:spacing w:after="130" w:line="262"/>
        <w:jc w:val="both"/>
      </w:pPr>
      <w:r>
        <w:rPr>
          <w:rFonts w:ascii="Calibri" w:cs="Calibri" w:eastAsia="Calibri" w:hAnsi="Calibri"/>
          <w:sz w:val="22"/>
          <w:szCs w:val="22"/>
        </w:rPr>
        <w:t xml:space="preserve">The risk register is our single record, holding each risk’s description, owner, ratings before and after controls, controls in place, chosen response, action owner and date, and last review date. The risk coordinator maintains it; managers are responsible for their own entries. We will also log risk decisions, including approved exceptions and the reasons for them, and incidents, including what happened and what we changed afterwards. Records will be accessible to remote staff and kept as long as compliance requires.</w:t>
      </w:r>
    </w:p>
    <w:p>
      <w:pPr>
        <w:spacing w:after="100" w:before="250"/>
      </w:pPr>
      <w:r>
        <w:rPr>
          <w:rFonts w:ascii="Calibri" w:cs="Calibri" w:eastAsia="Calibri" w:hAnsi="Calibri"/>
          <w:b/>
          <w:bCs/>
          <w:sz w:val="22"/>
          <w:szCs w:val="22"/>
        </w:rPr>
        <w:t xml:space="preserve">HOW RISKS WILL BE REPORTED AND ESCALATED</w:t>
      </w:r>
    </w:p>
    <w:p>
      <w:pPr>
        <w:spacing w:after="130" w:line="262"/>
        <w:jc w:val="both"/>
      </w:pPr>
      <w:r>
        <w:rPr>
          <w:rFonts w:ascii="Calibri" w:cs="Calibri" w:eastAsia="Calibri" w:hAnsi="Calibri"/>
          <w:sz w:val="22"/>
          <w:szCs w:val="22"/>
        </w:rPr>
        <w:t xml:space="preserve">An employee who sees an incident or near miss tells their manager, who records it and informs the risk coordinator. The coordinator reports to the crisis leadership team, and the executive sponsor presents risk information at senior level. Management is alerted when a limit is likely to be broken, not only after. Data leaks and system damage are reported immediately.</w:t>
      </w:r>
    </w:p>
    <w:p>
      <w:pPr>
        <w:spacing w:after="130" w:line="262"/>
        <w:jc w:val="both"/>
      </w:pPr>
      <w:r>
        <w:rPr>
          <w:rFonts w:ascii="Calibri" w:cs="Calibri" w:eastAsia="Calibri" w:hAnsi="Calibri"/>
          <w:sz w:val="22"/>
          <w:szCs w:val="22"/>
        </w:rPr>
        <w:t xml:space="preserve">The crisis leadership team can move staff, start continuity arrangements, and spend within its agreed budget. Spending above that limit, asset sales outside approved plans, and accepting a risk above appetite go to executive management. Top management sets these limits; this protocol applies them.</w:t>
      </w:r>
    </w:p>
    <w:p>
      <w:pPr>
        <w:spacing w:after="130" w:line="262"/>
        <w:jc w:val="both"/>
      </w:pPr>
      <w:r>
        <w:rPr>
          <w:rFonts w:ascii="Calibri" w:cs="Calibri" w:eastAsia="Calibri" w:hAnsi="Calibri"/>
          <w:sz w:val="22"/>
          <w:szCs w:val="22"/>
        </w:rPr>
        <w:t xml:space="preserve">Regular reports cover the measures from our appetite section: delayed claims by number and age, customer response times, outage duration, extra pandemic costs, cash available, staffing in essential roles, and backup and recovery test results. Weekly for the first three months, monthly after.</w:t>
      </w:r>
    </w:p>
    <w:p>
      <w:pPr>
        <w:spacing w:after="100" w:before="250"/>
      </w:pPr>
      <w:r>
        <w:rPr>
          <w:rFonts w:ascii="Calibri" w:cs="Calibri" w:eastAsia="Calibri" w:hAnsi="Calibri"/>
          <w:b/>
          <w:bCs/>
          <w:sz w:val="22"/>
          <w:szCs w:val="22"/>
        </w:rPr>
        <w:t xml:space="preserve">REVIEW AND ASSURANCE</w:t>
      </w:r>
    </w:p>
    <w:p>
      <w:pPr>
        <w:spacing w:after="130" w:line="262"/>
        <w:jc w:val="both"/>
      </w:pPr>
      <w:r>
        <w:rPr>
          <w:rFonts w:ascii="Calibri" w:cs="Calibri" w:eastAsia="Calibri" w:hAnsi="Calibri"/>
          <w:sz w:val="22"/>
          <w:szCs w:val="22"/>
        </w:rPr>
        <w:t xml:space="preserve">We will review the protocols after any serious incident, after working arrangements change, and at the end of the first three months. Recovery arrangements will be tested on a set schedule, and a failed test counts as an incident. An independent review of internal controls, with Tiva’s help where available, will confirm the protocols are followed and not just written. Temporary arrangements that work well will be considered for permanent use.</w:t>
      </w:r>
    </w:p>
    <w:sectPr>
      <w:pgSz w:w="12240" w:h="15840" w:orient="portrait"/>
      <w:pgMar w:top="1120" w:right="1240" w:bottom="112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2026-10-11T23:23:09.299Z</dcterms:created>
  <dcterms:modified xsi:type="dcterms:W3CDTF">2026-10-11T23:23:09.299Z</dcterms:modified>
</cp:coreProperties>
</file>

<file path=docProps/custom.xml><?xml version="1.0" encoding="utf-8"?>
<Properties xmlns="http://schemas.openxmlformats.org/officeDocument/2006/custom-properties" xmlns:vt="http://schemas.openxmlformats.org/officeDocument/2006/docPropsVTypes"/>
</file>