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6441F" w14:textId="3550F0C8" w:rsidR="0017108F" w:rsidRDefault="000636A7" w:rsidP="000636A7">
      <w:pPr>
        <w:pStyle w:val="Title"/>
      </w:pPr>
      <w:r>
        <w:t>Finances Component of the Riskiness Index</w:t>
      </w:r>
    </w:p>
    <w:p w14:paraId="5F1B1A79" w14:textId="77777777" w:rsidR="00E11EA0" w:rsidRPr="00E11EA0" w:rsidRDefault="00E11EA0" w:rsidP="00E11EA0"/>
    <w:p w14:paraId="02714C2D" w14:textId="46DDDB3D" w:rsidR="00E11EA0" w:rsidRDefault="00E11EA0" w:rsidP="00E11EA0">
      <w:r w:rsidRPr="00E11EA0">
        <w:t>Riskiness index</w:t>
      </w:r>
      <w:r w:rsidRPr="00E11EA0">
        <w:tab/>
        <w:t>Establish an overall picture of how exposed the organization is to risk. Hopkin’s approach examines finances, infrastructure, reputation, and marketplace—often abbreviated FIRM</w:t>
      </w:r>
      <w:r w:rsidR="00772B66">
        <w:t xml:space="preserve">. </w:t>
      </w:r>
      <w:r w:rsidRPr="00E11EA0">
        <w:t>Scores using the supplied questionnaire, reasons for those scores, and an explanation of the areas with greatest exposure. This provides the starting point for the risk agenda.</w:t>
      </w:r>
    </w:p>
    <w:p w14:paraId="41DB805B" w14:textId="77777777" w:rsidR="00E11EA0" w:rsidRDefault="00E11EA0" w:rsidP="00E11EA0"/>
    <w:p w14:paraId="01B61A14" w14:textId="5339BCF4" w:rsidR="00E11EA0" w:rsidRDefault="00E11EA0" w:rsidP="00E11EA0">
      <w:pPr>
        <w:rPr>
          <w:b/>
          <w:bCs/>
        </w:rPr>
      </w:pPr>
      <w:r>
        <w:rPr>
          <w:b/>
          <w:bCs/>
        </w:rPr>
        <w:t>Financial Assumptions</w:t>
      </w:r>
    </w:p>
    <w:p w14:paraId="42132351" w14:textId="77777777" w:rsidR="00E11EA0" w:rsidRDefault="00E11EA0" w:rsidP="00E11EA0">
      <w:pPr>
        <w:pStyle w:val="ListParagraph"/>
        <w:numPr>
          <w:ilvl w:val="0"/>
          <w:numId w:val="1"/>
        </w:numPr>
        <w:spacing w:line="278" w:lineRule="auto"/>
      </w:pPr>
      <w:r>
        <w:t>How has business been trending prior to the pandemic?</w:t>
      </w:r>
    </w:p>
    <w:p w14:paraId="733EC127" w14:textId="77777777" w:rsidR="00E11EA0" w:rsidRPr="007C3AEB" w:rsidRDefault="00E11EA0" w:rsidP="00E11EA0">
      <w:pPr>
        <w:pStyle w:val="ListParagraph"/>
        <w:numPr>
          <w:ilvl w:val="1"/>
          <w:numId w:val="2"/>
        </w:numPr>
        <w:spacing w:line="278" w:lineRule="auto"/>
        <w:rPr>
          <w:b/>
          <w:bCs/>
        </w:rPr>
      </w:pPr>
      <w:r>
        <w:t xml:space="preserve">Cash reserves? </w:t>
      </w:r>
    </w:p>
    <w:p w14:paraId="4984E722" w14:textId="77777777" w:rsidR="00E11EA0" w:rsidRPr="002E6D9D" w:rsidRDefault="00E11EA0" w:rsidP="00E11EA0">
      <w:pPr>
        <w:pStyle w:val="ListParagraph"/>
        <w:numPr>
          <w:ilvl w:val="1"/>
          <w:numId w:val="2"/>
        </w:numPr>
        <w:spacing w:line="278" w:lineRule="auto"/>
        <w:rPr>
          <w:b/>
          <w:bCs/>
        </w:rPr>
      </w:pPr>
      <w:r>
        <w:t xml:space="preserve">Are there areas we could see increased claims being made? </w:t>
      </w:r>
    </w:p>
    <w:p w14:paraId="0AA3E7D5" w14:textId="6EAD4772" w:rsidR="00E11EA0" w:rsidRPr="002E6D9D" w:rsidRDefault="00E11EA0" w:rsidP="00E11EA0">
      <w:pPr>
        <w:pStyle w:val="ListParagraph"/>
        <w:numPr>
          <w:ilvl w:val="0"/>
          <w:numId w:val="2"/>
        </w:numPr>
        <w:spacing w:line="278" w:lineRule="auto"/>
        <w:rPr>
          <w:b/>
          <w:bCs/>
        </w:rPr>
      </w:pPr>
      <w:r>
        <w:t xml:space="preserve">How did investment funds change during the pandemic? </w:t>
      </w:r>
      <w:r w:rsidR="007E59CC">
        <w:t>&lt;- NOT APPLICABLE?</w:t>
      </w:r>
    </w:p>
    <w:p w14:paraId="4D01A01C" w14:textId="1637A412" w:rsidR="00E11EA0" w:rsidRPr="007C3AEB" w:rsidRDefault="00E11EA0" w:rsidP="00E11EA0">
      <w:pPr>
        <w:pStyle w:val="ListParagraph"/>
        <w:numPr>
          <w:ilvl w:val="0"/>
          <w:numId w:val="2"/>
        </w:numPr>
        <w:spacing w:line="278" w:lineRule="auto"/>
        <w:rPr>
          <w:b/>
          <w:bCs/>
        </w:rPr>
      </w:pPr>
      <w:r>
        <w:t xml:space="preserve">What will this mean to our small business clients? </w:t>
      </w:r>
      <w:r w:rsidR="007E59CC">
        <w:t>&lt;- STILL HAVE TO ANSWER</w:t>
      </w:r>
    </w:p>
    <w:p w14:paraId="526821D2" w14:textId="77777777" w:rsidR="00E11EA0" w:rsidRPr="007C3AEB" w:rsidRDefault="00E11EA0" w:rsidP="00E11EA0">
      <w:pPr>
        <w:pStyle w:val="ListParagraph"/>
        <w:numPr>
          <w:ilvl w:val="0"/>
          <w:numId w:val="2"/>
        </w:numPr>
        <w:spacing w:line="278" w:lineRule="auto"/>
        <w:rPr>
          <w:b/>
          <w:bCs/>
        </w:rPr>
      </w:pPr>
      <w:r>
        <w:t>How does our portfolio rebalance?</w:t>
      </w:r>
    </w:p>
    <w:p w14:paraId="7FE65259" w14:textId="25FD55C2" w:rsidR="00E11EA0" w:rsidRPr="007C3AEB" w:rsidRDefault="00E11EA0" w:rsidP="00E11EA0">
      <w:pPr>
        <w:pStyle w:val="ListParagraph"/>
        <w:numPr>
          <w:ilvl w:val="1"/>
          <w:numId w:val="2"/>
        </w:numPr>
        <w:spacing w:line="278" w:lineRule="auto"/>
        <w:rPr>
          <w:b/>
          <w:bCs/>
        </w:rPr>
      </w:pPr>
      <w:r>
        <w:t xml:space="preserve">Which products decline in demand, which increase? </w:t>
      </w:r>
      <w:r w:rsidR="007E59CC">
        <w:t>&lt;- STILL HAVE TO ANSWER</w:t>
      </w:r>
    </w:p>
    <w:p w14:paraId="41F21119" w14:textId="7C2A121E" w:rsidR="00E11EA0" w:rsidRPr="007C3AEB" w:rsidRDefault="00E11EA0" w:rsidP="00E11EA0">
      <w:pPr>
        <w:pStyle w:val="ListParagraph"/>
        <w:numPr>
          <w:ilvl w:val="0"/>
          <w:numId w:val="2"/>
        </w:numPr>
        <w:spacing w:line="278" w:lineRule="auto"/>
        <w:rPr>
          <w:b/>
          <w:bCs/>
        </w:rPr>
      </w:pPr>
      <w:r>
        <w:t xml:space="preserve">Did we have any financial plans pre-pandemic? (liabilities) </w:t>
      </w:r>
      <w:r w:rsidR="007E59CC">
        <w:t>&lt;- STILL HAVE TO ANSWER</w:t>
      </w:r>
    </w:p>
    <w:p w14:paraId="3243CBC1" w14:textId="77777777" w:rsidR="00B918A2" w:rsidRDefault="00B918A2" w:rsidP="00B918A2"/>
    <w:p w14:paraId="225AAF70" w14:textId="41AA5202" w:rsidR="00772B66" w:rsidRDefault="00772B66" w:rsidP="00772B66">
      <w:pPr>
        <w:pStyle w:val="Heading1"/>
      </w:pPr>
      <w:r>
        <w:t>Draft</w:t>
      </w:r>
    </w:p>
    <w:p w14:paraId="1B58BFA5" w14:textId="7DF44ACC" w:rsidR="00B918A2" w:rsidRDefault="00B918A2" w:rsidP="00B918A2">
      <w:r>
        <w:t>The financial component of the riskiness index assesses the risks that affect how ItrustU manages its money and achieves profitability. Using the FIRM scorecard, we can evaluate the company’s risk health on four</w:t>
      </w:r>
      <w:r w:rsidR="006E040F">
        <w:t xml:space="preserve"> (three)</w:t>
      </w:r>
      <w:r>
        <w:t xml:space="preserve"> key areas: </w:t>
      </w:r>
    </w:p>
    <w:p w14:paraId="3858E541" w14:textId="3BCFBDD4" w:rsidR="00B918A2" w:rsidRDefault="00B918A2" w:rsidP="00B918A2">
      <w:pPr>
        <w:pStyle w:val="ListParagraph"/>
        <w:numPr>
          <w:ilvl w:val="0"/>
          <w:numId w:val="3"/>
        </w:numPr>
      </w:pPr>
      <w:r>
        <w:t>Correct Allocation of Funds: Lack of availability of adequate investment funds</w:t>
      </w:r>
    </w:p>
    <w:p w14:paraId="30E5B6C8" w14:textId="5491CD3A" w:rsidR="00B918A2" w:rsidRDefault="00B918A2" w:rsidP="00B918A2">
      <w:pPr>
        <w:pStyle w:val="ListParagraph"/>
        <w:numPr>
          <w:ilvl w:val="0"/>
          <w:numId w:val="3"/>
        </w:numPr>
      </w:pPr>
      <w:r>
        <w:t>Correct Allocation of Funds (cont’d): Inadequate procedures for allocation of funds to available opportunities</w:t>
      </w:r>
    </w:p>
    <w:p w14:paraId="1E91BA9C" w14:textId="717188FA" w:rsidR="00B918A2" w:rsidRDefault="00B918A2" w:rsidP="00B918A2">
      <w:pPr>
        <w:pStyle w:val="ListParagraph"/>
        <w:numPr>
          <w:ilvl w:val="0"/>
          <w:numId w:val="3"/>
        </w:numPr>
      </w:pPr>
      <w:r>
        <w:lastRenderedPageBreak/>
        <w:t>Internal Controls: Poor internal financial controls to prevent fraud and control credit risks</w:t>
      </w:r>
    </w:p>
    <w:p w14:paraId="51F564D4" w14:textId="765AEEE3" w:rsidR="00B918A2" w:rsidRDefault="00B918A2" w:rsidP="00B918A2">
      <w:pPr>
        <w:pStyle w:val="ListParagraph"/>
        <w:numPr>
          <w:ilvl w:val="0"/>
          <w:numId w:val="3"/>
        </w:numPr>
      </w:pPr>
      <w:r>
        <w:t xml:space="preserve">Liabilities under control: </w:t>
      </w:r>
      <w:r w:rsidRPr="00B918A2">
        <w:t>Insufficient reserves for existing and historical liabilities (including pensions)</w:t>
      </w:r>
    </w:p>
    <w:p w14:paraId="616AC9BB" w14:textId="654286B4" w:rsidR="00B918A2" w:rsidRPr="00E11EA0" w:rsidRDefault="00B918A2" w:rsidP="00B918A2">
      <w:r>
        <w:t>Without financial statements, scores are judged semi-</w:t>
      </w:r>
      <w:r w:rsidR="00A837FE">
        <w:t>quantitatively</w:t>
      </w:r>
      <w:r>
        <w:t xml:space="preserve"> based on what we know of ItrustU’s operations, products, and investment practices.</w:t>
      </w:r>
      <w:r w:rsidR="00772B66">
        <w:t xml:space="preserve"> </w:t>
      </w:r>
      <w:r>
        <w:t xml:space="preserve"> </w:t>
      </w:r>
    </w:p>
    <w:tbl>
      <w:tblPr>
        <w:tblW w:w="9241" w:type="dxa"/>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7"/>
        <w:gridCol w:w="7370"/>
        <w:gridCol w:w="1054"/>
      </w:tblGrid>
      <w:tr w:rsidR="00B918A2" w:rsidRPr="0041167C" w14:paraId="2484A406" w14:textId="77777777" w:rsidTr="00DD5D9E">
        <w:trPr>
          <w:trHeight w:val="509"/>
        </w:trPr>
        <w:tc>
          <w:tcPr>
            <w:tcW w:w="9241" w:type="dxa"/>
            <w:gridSpan w:val="3"/>
          </w:tcPr>
          <w:p w14:paraId="6DEC7D02" w14:textId="77777777" w:rsidR="00B918A2" w:rsidRPr="0041167C" w:rsidRDefault="00B918A2" w:rsidP="00DD5D9E">
            <w:pPr>
              <w:pStyle w:val="TableParagraph"/>
              <w:spacing w:before="121"/>
              <w:ind w:left="108"/>
              <w:jc w:val="center"/>
              <w:rPr>
                <w:rFonts w:ascii="Inter" w:hAnsi="Inter"/>
                <w:b/>
              </w:rPr>
            </w:pPr>
            <w:r w:rsidRPr="0041167C">
              <w:rPr>
                <w:rFonts w:ascii="Inter" w:hAnsi="Inter"/>
                <w:b/>
                <w:i/>
              </w:rPr>
              <w:t>Finances component of the riskiness index</w:t>
            </w:r>
          </w:p>
        </w:tc>
      </w:tr>
      <w:tr w:rsidR="00B918A2" w:rsidRPr="0041167C" w14:paraId="2A7686E4" w14:textId="77777777" w:rsidTr="00DD5D9E">
        <w:trPr>
          <w:trHeight w:val="509"/>
        </w:trPr>
        <w:tc>
          <w:tcPr>
            <w:tcW w:w="817" w:type="dxa"/>
          </w:tcPr>
          <w:p w14:paraId="0F953C0C" w14:textId="77777777" w:rsidR="00B918A2" w:rsidRPr="0041167C" w:rsidRDefault="00B918A2" w:rsidP="00DD5D9E">
            <w:pPr>
              <w:pStyle w:val="TableParagraph"/>
              <w:spacing w:before="121"/>
              <w:rPr>
                <w:rFonts w:ascii="Inter" w:hAnsi="Inter"/>
                <w:b/>
              </w:rPr>
            </w:pPr>
            <w:r w:rsidRPr="0041167C">
              <w:rPr>
                <w:rFonts w:ascii="Inter" w:hAnsi="Inter"/>
                <w:b/>
              </w:rPr>
              <w:t>Code</w:t>
            </w:r>
          </w:p>
        </w:tc>
        <w:tc>
          <w:tcPr>
            <w:tcW w:w="7370" w:type="dxa"/>
          </w:tcPr>
          <w:p w14:paraId="6B2D3EDF" w14:textId="77777777" w:rsidR="00B918A2" w:rsidRPr="0041167C" w:rsidRDefault="00B918A2" w:rsidP="00DD5D9E">
            <w:pPr>
              <w:pStyle w:val="TableParagraph"/>
              <w:spacing w:before="121"/>
              <w:rPr>
                <w:rFonts w:ascii="Inter" w:hAnsi="Inter"/>
                <w:b/>
              </w:rPr>
            </w:pPr>
            <w:r w:rsidRPr="0041167C">
              <w:rPr>
                <w:rFonts w:ascii="Inter" w:hAnsi="Inter"/>
                <w:b/>
              </w:rPr>
              <w:t>Description</w:t>
            </w:r>
          </w:p>
        </w:tc>
        <w:tc>
          <w:tcPr>
            <w:tcW w:w="1054" w:type="dxa"/>
          </w:tcPr>
          <w:p w14:paraId="41D1D8CA" w14:textId="77777777" w:rsidR="00B918A2" w:rsidRPr="0041167C" w:rsidRDefault="00B918A2" w:rsidP="00DD5D9E">
            <w:pPr>
              <w:pStyle w:val="TableParagraph"/>
              <w:spacing w:before="121"/>
              <w:ind w:left="108"/>
              <w:rPr>
                <w:rFonts w:ascii="Inter" w:hAnsi="Inter"/>
                <w:b/>
              </w:rPr>
            </w:pPr>
            <w:r w:rsidRPr="0041167C">
              <w:rPr>
                <w:rFonts w:ascii="Inter" w:hAnsi="Inter"/>
                <w:b/>
              </w:rPr>
              <w:t>Score</w:t>
            </w:r>
          </w:p>
        </w:tc>
      </w:tr>
      <w:tr w:rsidR="00B918A2" w:rsidRPr="0041167C" w14:paraId="38A64CCB" w14:textId="77777777" w:rsidTr="00DD5D9E">
        <w:trPr>
          <w:trHeight w:val="418"/>
        </w:trPr>
        <w:tc>
          <w:tcPr>
            <w:tcW w:w="817" w:type="dxa"/>
          </w:tcPr>
          <w:p w14:paraId="20219393" w14:textId="77777777" w:rsidR="00B918A2" w:rsidRPr="0041167C" w:rsidRDefault="00B918A2" w:rsidP="00DD5D9E">
            <w:pPr>
              <w:pStyle w:val="TableParagraph"/>
              <w:rPr>
                <w:rFonts w:ascii="Inter" w:hAnsi="Inter"/>
              </w:rPr>
            </w:pPr>
            <w:r w:rsidRPr="0041167C">
              <w:rPr>
                <w:rFonts w:ascii="Inter" w:hAnsi="Inter"/>
              </w:rPr>
              <w:t>1.1</w:t>
            </w:r>
          </w:p>
        </w:tc>
        <w:tc>
          <w:tcPr>
            <w:tcW w:w="7370" w:type="dxa"/>
          </w:tcPr>
          <w:p w14:paraId="43273177" w14:textId="77777777" w:rsidR="00B918A2" w:rsidRPr="0041167C" w:rsidRDefault="00B918A2" w:rsidP="00DD5D9E">
            <w:pPr>
              <w:pStyle w:val="TableParagraph"/>
              <w:ind w:left="108"/>
              <w:rPr>
                <w:rFonts w:ascii="Inter" w:hAnsi="Inter"/>
              </w:rPr>
            </w:pPr>
            <w:r w:rsidRPr="0041167C">
              <w:rPr>
                <w:rFonts w:ascii="Inter" w:hAnsi="Inter"/>
              </w:rPr>
              <w:t>Lack of availability (or unacceptable cost) of adequate investment funds</w:t>
            </w:r>
          </w:p>
        </w:tc>
        <w:tc>
          <w:tcPr>
            <w:tcW w:w="1054" w:type="dxa"/>
          </w:tcPr>
          <w:p w14:paraId="51A16B82" w14:textId="64612CD1" w:rsidR="00B918A2" w:rsidRPr="0041167C" w:rsidRDefault="001A5A46" w:rsidP="00DD5D9E">
            <w:pPr>
              <w:pStyle w:val="TableParagraph"/>
              <w:spacing w:before="0"/>
              <w:ind w:left="0"/>
              <w:rPr>
                <w:rFonts w:ascii="Inter" w:hAnsi="Inter"/>
                <w:sz w:val="20"/>
              </w:rPr>
            </w:pPr>
            <w:r>
              <w:rPr>
                <w:rFonts w:ascii="Inter" w:hAnsi="Inter"/>
                <w:sz w:val="20"/>
              </w:rPr>
              <w:t>2 (some risk)</w:t>
            </w:r>
          </w:p>
        </w:tc>
      </w:tr>
      <w:tr w:rsidR="00B918A2" w:rsidRPr="0041167C" w14:paraId="6CED4758" w14:textId="77777777" w:rsidTr="00DD5D9E">
        <w:trPr>
          <w:trHeight w:val="419"/>
        </w:trPr>
        <w:tc>
          <w:tcPr>
            <w:tcW w:w="817" w:type="dxa"/>
          </w:tcPr>
          <w:p w14:paraId="5EDCD72B" w14:textId="77777777" w:rsidR="00B918A2" w:rsidRPr="0041167C" w:rsidRDefault="00B918A2" w:rsidP="00DD5D9E">
            <w:pPr>
              <w:pStyle w:val="TableParagraph"/>
              <w:spacing w:before="110"/>
              <w:rPr>
                <w:rFonts w:ascii="Inter" w:hAnsi="Inter"/>
              </w:rPr>
            </w:pPr>
            <w:r w:rsidRPr="0041167C">
              <w:rPr>
                <w:rFonts w:ascii="Inter" w:hAnsi="Inter"/>
              </w:rPr>
              <w:t>1.2</w:t>
            </w:r>
          </w:p>
        </w:tc>
        <w:tc>
          <w:tcPr>
            <w:tcW w:w="7370" w:type="dxa"/>
          </w:tcPr>
          <w:p w14:paraId="59377B24" w14:textId="77777777" w:rsidR="00B918A2" w:rsidRPr="0041167C" w:rsidRDefault="00B918A2" w:rsidP="00DD5D9E">
            <w:pPr>
              <w:pStyle w:val="TableParagraph"/>
              <w:spacing w:before="110"/>
              <w:ind w:left="108"/>
              <w:rPr>
                <w:rFonts w:ascii="Inter" w:hAnsi="Inter"/>
              </w:rPr>
            </w:pPr>
            <w:r w:rsidRPr="0041167C">
              <w:rPr>
                <w:rFonts w:ascii="Inter" w:hAnsi="Inter"/>
              </w:rPr>
              <w:t>Inadequate procedures for allocation of funds to available opportunities</w:t>
            </w:r>
          </w:p>
        </w:tc>
        <w:tc>
          <w:tcPr>
            <w:tcW w:w="1054" w:type="dxa"/>
          </w:tcPr>
          <w:p w14:paraId="407BEAD8" w14:textId="6C1C89FE" w:rsidR="00B918A2" w:rsidRPr="0041167C" w:rsidRDefault="001A5A46" w:rsidP="00DD5D9E">
            <w:pPr>
              <w:pStyle w:val="TableParagraph"/>
              <w:spacing w:before="0"/>
              <w:ind w:left="0"/>
              <w:rPr>
                <w:rFonts w:ascii="Inter" w:hAnsi="Inter"/>
                <w:sz w:val="20"/>
              </w:rPr>
            </w:pPr>
            <w:r>
              <w:rPr>
                <w:rFonts w:ascii="Inter" w:hAnsi="Inter"/>
                <w:sz w:val="20"/>
              </w:rPr>
              <w:t>3 (medium risk)</w:t>
            </w:r>
          </w:p>
        </w:tc>
      </w:tr>
      <w:tr w:rsidR="00B918A2" w:rsidRPr="0041167C" w14:paraId="5B29148C" w14:textId="77777777" w:rsidTr="00DD5D9E">
        <w:trPr>
          <w:trHeight w:val="418"/>
        </w:trPr>
        <w:tc>
          <w:tcPr>
            <w:tcW w:w="817" w:type="dxa"/>
          </w:tcPr>
          <w:p w14:paraId="65D6E3DE" w14:textId="77777777" w:rsidR="00B918A2" w:rsidRPr="0041167C" w:rsidRDefault="00B918A2" w:rsidP="00DD5D9E">
            <w:pPr>
              <w:pStyle w:val="TableParagraph"/>
              <w:rPr>
                <w:rFonts w:ascii="Inter" w:hAnsi="Inter"/>
              </w:rPr>
            </w:pPr>
            <w:r w:rsidRPr="0041167C">
              <w:rPr>
                <w:rFonts w:ascii="Inter" w:hAnsi="Inter"/>
              </w:rPr>
              <w:t>1.3</w:t>
            </w:r>
          </w:p>
        </w:tc>
        <w:tc>
          <w:tcPr>
            <w:tcW w:w="7370" w:type="dxa"/>
          </w:tcPr>
          <w:p w14:paraId="7FF0A0DF" w14:textId="77777777" w:rsidR="00B918A2" w:rsidRPr="0041167C" w:rsidRDefault="00B918A2" w:rsidP="00DD5D9E">
            <w:pPr>
              <w:pStyle w:val="TableParagraph"/>
              <w:ind w:left="108"/>
              <w:rPr>
                <w:rFonts w:ascii="Inter" w:hAnsi="Inter"/>
              </w:rPr>
            </w:pPr>
            <w:r w:rsidRPr="0041167C">
              <w:rPr>
                <w:rFonts w:ascii="Inter" w:hAnsi="Inter"/>
              </w:rPr>
              <w:t>Poor internal financial controls to prevent fraud and control credit risks</w:t>
            </w:r>
          </w:p>
        </w:tc>
        <w:tc>
          <w:tcPr>
            <w:tcW w:w="1054" w:type="dxa"/>
          </w:tcPr>
          <w:p w14:paraId="4D589A6D" w14:textId="3165FF12" w:rsidR="00B918A2" w:rsidRPr="0041167C" w:rsidRDefault="001A5A46" w:rsidP="00DD5D9E">
            <w:pPr>
              <w:pStyle w:val="TableParagraph"/>
              <w:spacing w:before="0"/>
              <w:ind w:left="0"/>
              <w:rPr>
                <w:rFonts w:ascii="Inter" w:hAnsi="Inter"/>
                <w:sz w:val="20"/>
              </w:rPr>
            </w:pPr>
            <w:r>
              <w:rPr>
                <w:rFonts w:ascii="Inter" w:hAnsi="Inter"/>
                <w:sz w:val="20"/>
              </w:rPr>
              <w:t>4 (high risk)</w:t>
            </w:r>
          </w:p>
        </w:tc>
      </w:tr>
      <w:tr w:rsidR="00B918A2" w:rsidRPr="0041167C" w14:paraId="0B4BF7AC" w14:textId="77777777" w:rsidTr="00DD5D9E">
        <w:trPr>
          <w:trHeight w:val="418"/>
        </w:trPr>
        <w:tc>
          <w:tcPr>
            <w:tcW w:w="817" w:type="dxa"/>
          </w:tcPr>
          <w:p w14:paraId="52062D9A" w14:textId="77777777" w:rsidR="00B918A2" w:rsidRPr="0041167C" w:rsidRDefault="00B918A2" w:rsidP="00DD5D9E">
            <w:pPr>
              <w:pStyle w:val="TableParagraph"/>
              <w:rPr>
                <w:rFonts w:ascii="Inter" w:hAnsi="Inter"/>
              </w:rPr>
            </w:pPr>
            <w:r w:rsidRPr="0041167C">
              <w:rPr>
                <w:rFonts w:ascii="Inter" w:hAnsi="Inter"/>
              </w:rPr>
              <w:t>1.4</w:t>
            </w:r>
          </w:p>
        </w:tc>
        <w:tc>
          <w:tcPr>
            <w:tcW w:w="7370" w:type="dxa"/>
          </w:tcPr>
          <w:p w14:paraId="5210589E" w14:textId="77777777" w:rsidR="00B918A2" w:rsidRPr="0041167C" w:rsidRDefault="00B918A2" w:rsidP="00DD5D9E">
            <w:pPr>
              <w:pStyle w:val="TableParagraph"/>
              <w:ind w:left="108"/>
              <w:rPr>
                <w:rFonts w:ascii="Inter" w:hAnsi="Inter"/>
              </w:rPr>
            </w:pPr>
            <w:r w:rsidRPr="0041167C">
              <w:rPr>
                <w:rFonts w:ascii="Inter" w:hAnsi="Inter"/>
              </w:rPr>
              <w:t>Insufficient reserves for existing and historical liabilities (including pensions)</w:t>
            </w:r>
          </w:p>
        </w:tc>
        <w:tc>
          <w:tcPr>
            <w:tcW w:w="1054" w:type="dxa"/>
          </w:tcPr>
          <w:p w14:paraId="58247FE9" w14:textId="6A48C324" w:rsidR="00B918A2" w:rsidRPr="0041167C" w:rsidRDefault="001A5A46" w:rsidP="00DD5D9E">
            <w:pPr>
              <w:pStyle w:val="TableParagraph"/>
              <w:spacing w:before="0"/>
              <w:ind w:left="0"/>
              <w:rPr>
                <w:rFonts w:ascii="Inter" w:hAnsi="Inter"/>
                <w:sz w:val="20"/>
              </w:rPr>
            </w:pPr>
            <w:r>
              <w:rPr>
                <w:rFonts w:ascii="Inter" w:hAnsi="Inter"/>
                <w:sz w:val="20"/>
              </w:rPr>
              <w:t>4 (high risk)</w:t>
            </w:r>
          </w:p>
        </w:tc>
      </w:tr>
      <w:tr w:rsidR="00B918A2" w:rsidRPr="0041167C" w14:paraId="48A7C695" w14:textId="77777777" w:rsidTr="00DD5D9E">
        <w:trPr>
          <w:trHeight w:val="510"/>
        </w:trPr>
        <w:tc>
          <w:tcPr>
            <w:tcW w:w="817" w:type="dxa"/>
          </w:tcPr>
          <w:p w14:paraId="7C6935C8" w14:textId="77777777" w:rsidR="00B918A2" w:rsidRPr="0041167C" w:rsidRDefault="00B918A2" w:rsidP="00DD5D9E">
            <w:pPr>
              <w:pStyle w:val="TableParagraph"/>
              <w:spacing w:before="0"/>
              <w:ind w:left="0"/>
              <w:rPr>
                <w:rFonts w:ascii="Inter" w:hAnsi="Inter"/>
                <w:sz w:val="20"/>
              </w:rPr>
            </w:pPr>
          </w:p>
        </w:tc>
        <w:tc>
          <w:tcPr>
            <w:tcW w:w="7370" w:type="dxa"/>
          </w:tcPr>
          <w:p w14:paraId="6B41319D" w14:textId="77777777" w:rsidR="00B918A2" w:rsidRPr="0041167C" w:rsidRDefault="00B918A2" w:rsidP="00DD5D9E">
            <w:pPr>
              <w:pStyle w:val="TableParagraph"/>
              <w:spacing w:before="122"/>
              <w:rPr>
                <w:rFonts w:ascii="Inter" w:hAnsi="Inter"/>
                <w:b/>
              </w:rPr>
            </w:pPr>
            <w:r w:rsidRPr="0041167C">
              <w:rPr>
                <w:rFonts w:ascii="Inter" w:hAnsi="Inter"/>
                <w:b/>
              </w:rPr>
              <w:t>TOTAL for finances component</w:t>
            </w:r>
          </w:p>
        </w:tc>
        <w:tc>
          <w:tcPr>
            <w:tcW w:w="1054" w:type="dxa"/>
          </w:tcPr>
          <w:p w14:paraId="3F194CE5" w14:textId="4FC9023D" w:rsidR="00B918A2" w:rsidRPr="0041167C" w:rsidRDefault="001A5A46" w:rsidP="00DD5D9E">
            <w:pPr>
              <w:pStyle w:val="TableParagraph"/>
              <w:spacing w:before="0"/>
              <w:ind w:left="0"/>
              <w:rPr>
                <w:rFonts w:ascii="Inter" w:hAnsi="Inter"/>
                <w:sz w:val="20"/>
              </w:rPr>
            </w:pPr>
            <w:r>
              <w:rPr>
                <w:rFonts w:ascii="Inter" w:hAnsi="Inter"/>
                <w:sz w:val="20"/>
              </w:rPr>
              <w:t>13</w:t>
            </w:r>
          </w:p>
        </w:tc>
      </w:tr>
    </w:tbl>
    <w:p w14:paraId="0C9459C0" w14:textId="77777777" w:rsidR="00B918A2" w:rsidRDefault="00B918A2" w:rsidP="000636A7"/>
    <w:p w14:paraId="4EF7407D" w14:textId="4813F00D" w:rsidR="00772B66" w:rsidRDefault="00772B66" w:rsidP="00772B66">
      <w:pPr>
        <w:pStyle w:val="Heading2"/>
      </w:pPr>
      <w:r>
        <w:t>Working Assumptions:</w:t>
      </w:r>
    </w:p>
    <w:p w14:paraId="0214ECD1" w14:textId="3B390142" w:rsidR="00772B66" w:rsidRDefault="00772B66" w:rsidP="000636A7">
      <w:r>
        <w:t>ItrustU is a company of 50+ staff that manage a 70% market share in Ontario alone. They are in “one in three households, one in five vehicles, more than 100 SBs.” We therefore assume ItrustU relies heavily on its parent company Tiva and various third-party providers to</w:t>
      </w:r>
      <w:r w:rsidR="00631011">
        <w:t xml:space="preserve"> sustain operations. </w:t>
      </w:r>
      <w:r>
        <w:t xml:space="preserve"> </w:t>
      </w:r>
    </w:p>
    <w:p w14:paraId="6420EE9C" w14:textId="77777777" w:rsidR="00772B66" w:rsidRDefault="00772B66" w:rsidP="000636A7"/>
    <w:p w14:paraId="5AAF5E25" w14:textId="09D48741" w:rsidR="00772B66" w:rsidRDefault="00772B66" w:rsidP="00772B66">
      <w:pPr>
        <w:pStyle w:val="Heading2"/>
      </w:pPr>
      <w:r>
        <w:t>On the Correct Allocation of Funds:</w:t>
      </w:r>
    </w:p>
    <w:p w14:paraId="234596B3" w14:textId="6CFF5685" w:rsidR="00772B66" w:rsidRDefault="00772B66" w:rsidP="00772B66">
      <w:r>
        <w:t xml:space="preserve">ItrustU belongs to Tiva, the sixth largest insurance group in the world. It collects premiums in advance from a very large customer base in Ontario that gives it a steady flow of investable funds. The pandemic creates some </w:t>
      </w:r>
      <w:r w:rsidR="00631011">
        <w:t xml:space="preserve">critical </w:t>
      </w:r>
      <w:r>
        <w:t xml:space="preserve">new funding needs: a crisis leadership team and a pandemic plan. </w:t>
      </w:r>
      <w:r w:rsidR="00631011">
        <w:t xml:space="preserve">Beyond that, there is a need to put measures in place to reduce exposure to </w:t>
      </w:r>
      <w:r w:rsidR="006E040F">
        <w:t xml:space="preserve">various </w:t>
      </w:r>
      <w:r w:rsidR="00631011">
        <w:t>risk</w:t>
      </w:r>
      <w:r w:rsidR="006E040F">
        <w:t>s</w:t>
      </w:r>
      <w:r w:rsidR="00631011">
        <w:t xml:space="preserve"> in the </w:t>
      </w:r>
      <w:r w:rsidR="006E040F">
        <w:t>present and beyond</w:t>
      </w:r>
      <w:r w:rsidR="00631011">
        <w:t>. Premiums are invested in assets like Canadian stocks, bonds, real estate and precious metals</w:t>
      </w:r>
      <w:r w:rsidR="007B1640">
        <w:t xml:space="preserve"> to cover the cost of business and insurance claims</w:t>
      </w:r>
      <w:r w:rsidR="00631011">
        <w:t>. ItrustU also holds two kinds of liability: short-term Property &amp; Casualty (P&amp;C) claims like car, home, and travel, and long-term life and pension obligations.</w:t>
      </w:r>
    </w:p>
    <w:p w14:paraId="1BF86B10" w14:textId="1EDA276A" w:rsidR="00631011" w:rsidRDefault="00155AD1" w:rsidP="00772B66">
      <w:r>
        <w:lastRenderedPageBreak/>
        <w:t xml:space="preserve">Given our portfolio, there is a good chance that ItrustU would have liquidity problems as equities, real estate and precious metals are volatile assets and slow to sell. In times of crises, P&amp;C claims need cash quickly to pay out to claimants. </w:t>
      </w:r>
      <w:r w:rsidR="00A837FE">
        <w:t xml:space="preserve">Stocks and precious metals can be sold quickly but the risk with them is being forced to sell at a loss during a downturn. </w:t>
      </w:r>
      <w:r>
        <w:t>Common to all insurers is changes to interest rates which could affect long-dated life and pension plans. Since every holding is Canadian</w:t>
      </w:r>
      <w:r w:rsidR="007B1640">
        <w:t xml:space="preserve">, </w:t>
      </w:r>
      <w:r>
        <w:t xml:space="preserve">any regional or national dip will hit both assets and claims at the same time. </w:t>
      </w:r>
    </w:p>
    <w:p w14:paraId="355F2EBE" w14:textId="24E1CDF8" w:rsidR="00631011" w:rsidRDefault="00155AD1" w:rsidP="00772B66">
      <w:r>
        <w:t xml:space="preserve">We are also concerned about where funds are dedicated. </w:t>
      </w:r>
      <w:r w:rsidR="00F03599">
        <w:t xml:space="preserve">Cyber is </w:t>
      </w:r>
      <w:r w:rsidR="007B1640">
        <w:t xml:space="preserve">listed as </w:t>
      </w:r>
      <w:r w:rsidR="00F03599">
        <w:t xml:space="preserve">one of the main risks </w:t>
      </w:r>
      <w:r w:rsidR="007B1640">
        <w:t xml:space="preserve">the company plans to mitigate against yet has no dedicated cyber-security staff. The current assessment is that </w:t>
      </w:r>
      <w:r w:rsidR="00A837FE">
        <w:t>resources appear disproportionately distributed to the risks they company is concerned with</w:t>
      </w:r>
      <w:r w:rsidR="007B1640">
        <w:t xml:space="preserve">. Paired with the asset mix and liquidity risk, the company, in its current position and standing, will be vulnerable to a pandemic economy. </w:t>
      </w:r>
    </w:p>
    <w:p w14:paraId="220FA300" w14:textId="77777777" w:rsidR="007B1640" w:rsidRDefault="007B1640" w:rsidP="00772B66"/>
    <w:p w14:paraId="394ACC37" w14:textId="251FDCA2" w:rsidR="007B1640" w:rsidRDefault="007B1640" w:rsidP="007B1640">
      <w:pPr>
        <w:pStyle w:val="Heading2"/>
      </w:pPr>
      <w:r>
        <w:t>On the Internal Controls</w:t>
      </w:r>
    </w:p>
    <w:p w14:paraId="64F8D502" w14:textId="77FB68BA" w:rsidR="00927017" w:rsidRDefault="007B1640" w:rsidP="007B1640">
      <w:r>
        <w:t xml:space="preserve">ItrustU </w:t>
      </w:r>
      <w:r w:rsidR="00F769BE">
        <w:t xml:space="preserve">currently collects all premiums, processes claims </w:t>
      </w:r>
      <w:r w:rsidR="00A837FE">
        <w:t xml:space="preserve">and </w:t>
      </w:r>
      <w:r w:rsidR="00F769BE">
        <w:t xml:space="preserve">quotes through their website, mobile app and internal systems. This means they are vulnerable to every cyber security vulnerability in the book: direct theft through fraudulent claims payouts and payroll diversion; ransom and recovery costs; data loss and </w:t>
      </w:r>
      <w:r w:rsidR="008552CD">
        <w:t xml:space="preserve">its </w:t>
      </w:r>
      <w:r w:rsidR="00F769BE">
        <w:t>legal costs; regulatory penalties</w:t>
      </w:r>
      <w:r w:rsidR="00A837FE">
        <w:t>; a tech outage would stop premiums collection and claims payment at the same time.</w:t>
      </w:r>
      <w:r w:rsidR="008552CD">
        <w:t xml:space="preserve"> </w:t>
      </w:r>
      <w:r w:rsidR="00F769BE">
        <w:t>Six people currently cover IT and networking for 50 desktops, on-site servers and the internal network. Hosting, backups and security advice are outsourced. A six person team likely cannot provide round-the-clock monitoring</w:t>
      </w:r>
      <w:r w:rsidR="00927017">
        <w:t xml:space="preserve">. </w:t>
      </w:r>
      <w:r w:rsidR="00F769BE">
        <w:t xml:space="preserve">Control therefore depends on vendors the company does not directly manage. </w:t>
      </w:r>
      <w:r w:rsidR="002C0B96">
        <w:t xml:space="preserve">The switch to remote work during a pandemic increases the chances for attack and decreases the strength of defending it. </w:t>
      </w:r>
      <w:r w:rsidR="008552CD">
        <w:t>Also,</w:t>
      </w:r>
      <w:r w:rsidR="002C0B96">
        <w:t xml:space="preserve"> during a pandemic, brokers and bank partners </w:t>
      </w:r>
      <w:r w:rsidR="00A837FE">
        <w:t>could</w:t>
      </w:r>
      <w:r w:rsidR="002C0B96">
        <w:t xml:space="preserve"> delay or not remit premiums altogether, reinsurers will </w:t>
      </w:r>
      <w:r w:rsidR="008552CD">
        <w:t xml:space="preserve">likely </w:t>
      </w:r>
      <w:r w:rsidR="002C0B96">
        <w:t xml:space="preserve">not be in a position to pay recoveries and </w:t>
      </w:r>
      <w:r w:rsidR="00A837FE">
        <w:t xml:space="preserve">bond issuers may default on any </w:t>
      </w:r>
      <w:r w:rsidR="002C0B96">
        <w:t>dividends they expect</w:t>
      </w:r>
      <w:r w:rsidR="00A837FE">
        <w:t>ed</w:t>
      </w:r>
      <w:r w:rsidR="002C0B96">
        <w:t xml:space="preserve"> to receive. </w:t>
      </w:r>
    </w:p>
    <w:p w14:paraId="2ECC66D1" w14:textId="77777777" w:rsidR="002C0B96" w:rsidRDefault="002C0B96" w:rsidP="007B1640"/>
    <w:p w14:paraId="4FB47CE8" w14:textId="18F1F6F7" w:rsidR="002C0B96" w:rsidRDefault="002C0B96" w:rsidP="002C0B96">
      <w:pPr>
        <w:pStyle w:val="Heading2"/>
      </w:pPr>
      <w:r>
        <w:t>On Liabilities Under Control</w:t>
      </w:r>
    </w:p>
    <w:p w14:paraId="22648738" w14:textId="3F6E81B1" w:rsidR="002C0B96" w:rsidRDefault="002C0B96" w:rsidP="002C0B96">
      <w:r>
        <w:t xml:space="preserve">ItrustU writes both Property &amp; Casualty (P&amp;C) and life/pension products. In the industry, reserves are typically the largest liability on the balance sheet. </w:t>
      </w:r>
      <w:commentRangeStart w:id="0"/>
      <w:r>
        <w:t>With one in three Ontario households insured, adverse weather conditions like ice storms or floods will affect a large share of the clients at once</w:t>
      </w:r>
      <w:commentRangeEnd w:id="0"/>
      <w:r w:rsidR="001A5A46">
        <w:rPr>
          <w:rStyle w:val="CommentReference"/>
          <w:sz w:val="24"/>
          <w:szCs w:val="22"/>
        </w:rPr>
        <w:commentReference w:id="0"/>
      </w:r>
      <w:r>
        <w:t xml:space="preserve">. </w:t>
      </w:r>
      <w:r w:rsidR="006E040F">
        <w:t xml:space="preserve">In July 2013, Ontario recorded a record rainfall that insurers coughed up $940m to reimburse—making </w:t>
      </w:r>
      <w:r w:rsidR="006E040F">
        <w:lastRenderedPageBreak/>
        <w:t xml:space="preserve">it the most expensive insured natural disaster in Ontario’s history (CTV). </w:t>
      </w:r>
      <w:r w:rsidR="001A5A46">
        <w:t>Given the liquidity issues mentioned above, any reserve or float they’re required to have may not be able to cover paying out large claims. Travel</w:t>
      </w:r>
      <w:r w:rsidR="00A837FE">
        <w:t xml:space="preserve"> medical </w:t>
      </w:r>
      <w:r w:rsidR="001A5A46">
        <w:t xml:space="preserve">and cancellation claims are </w:t>
      </w:r>
      <w:r w:rsidR="00A837FE">
        <w:t>both</w:t>
      </w:r>
      <w:r w:rsidR="001A5A46">
        <w:t xml:space="preserve"> going to rise at the same time.  Falling interest rates will also increase the value of pension and annuity obligations while reducing investment income; any increase in the value of pension applies both </w:t>
      </w:r>
      <w:r w:rsidR="008552CD">
        <w:t>to the company’s</w:t>
      </w:r>
      <w:r w:rsidR="001A5A46">
        <w:t xml:space="preserve"> product and </w:t>
      </w:r>
      <w:r w:rsidR="008552CD">
        <w:t>i</w:t>
      </w:r>
      <w:r w:rsidR="001A5A46">
        <w:t xml:space="preserve">ts own employees. </w:t>
      </w:r>
    </w:p>
    <w:p w14:paraId="42A32A4D" w14:textId="77777777" w:rsidR="006E040F" w:rsidRDefault="006E040F" w:rsidP="002C0B96"/>
    <w:p w14:paraId="4562AC72" w14:textId="67892FB1" w:rsidR="00360B4F" w:rsidRDefault="00360B4F" w:rsidP="00360B4F">
      <w:pPr>
        <w:pStyle w:val="Heading2"/>
      </w:pPr>
      <w:r>
        <w:t>Final Thoughts</w:t>
      </w:r>
    </w:p>
    <w:p w14:paraId="74D234B2" w14:textId="19C4F55A" w:rsidR="00360B4F" w:rsidRPr="00360B4F" w:rsidRDefault="00360B4F" w:rsidP="00360B4F">
      <w:r>
        <w:t xml:space="preserve">ItrustU’s clearest strength is the availability of funds. Backing from Tiva and a steady flow of premiums make a decrease in funding unlikely, even under pandemic conditions. The greatest exposures lie in internal controls and liabilities under control. Internal controls carry the most likely losses, because a thin in-house IT department and a reliance on third-party vendors leave the door open for insider fraud and/or cyber-disasters. </w:t>
      </w:r>
      <w:r w:rsidR="00887700">
        <w:t xml:space="preserve">Liabilities can result in the most losses overall as rising claims and a fall in interest rates can significantly strain reserves. The lack of infrastructure in these areas suggest that further investment in people, systems and vendor oversight would reduce financial exposure as well. </w:t>
      </w:r>
      <w:r w:rsidR="00AC7AE8">
        <w:t>Does that mean that we could only reduce as much risk as our financ</w:t>
      </w:r>
      <w:r w:rsidR="00925783">
        <w:t>ial position</w:t>
      </w:r>
      <w:r w:rsidR="00AC7AE8">
        <w:t xml:space="preserve"> allows?</w:t>
      </w:r>
      <w:r w:rsidR="00925783">
        <w:t>??</w:t>
      </w:r>
    </w:p>
    <w:p w14:paraId="68538069" w14:textId="77777777" w:rsidR="00360B4F" w:rsidRDefault="00360B4F" w:rsidP="002C0B96"/>
    <w:p w14:paraId="310000EA" w14:textId="158E920A" w:rsidR="006E040F" w:rsidRDefault="006E040F" w:rsidP="002C0B96">
      <w:r>
        <w:t>Citations:</w:t>
      </w:r>
    </w:p>
    <w:p w14:paraId="2ADBE670" w14:textId="2DDD5C17" w:rsidR="006E040F" w:rsidRDefault="006E040F" w:rsidP="006E040F">
      <w:pPr>
        <w:pStyle w:val="ListParagraph"/>
        <w:numPr>
          <w:ilvl w:val="0"/>
          <w:numId w:val="5"/>
        </w:numPr>
      </w:pPr>
      <w:r>
        <w:t>Saunders</w:t>
      </w:r>
    </w:p>
    <w:p w14:paraId="6EF2C87B" w14:textId="72AF0909" w:rsidR="006E040F" w:rsidRPr="002C0B96" w:rsidRDefault="006E040F" w:rsidP="006E040F">
      <w:pPr>
        <w:pStyle w:val="ListParagraph"/>
        <w:numPr>
          <w:ilvl w:val="0"/>
          <w:numId w:val="5"/>
        </w:numPr>
      </w:pPr>
      <w:r>
        <w:t xml:space="preserve">CTV </w:t>
      </w:r>
      <w:hyperlink r:id="rId9" w:history="1">
        <w:r w:rsidRPr="006E040F">
          <w:rPr>
            <w:rStyle w:val="Hyperlink"/>
          </w:rPr>
          <w:t>Extreme weather cost Canada record $3.2B, insurers say</w:t>
        </w:r>
      </w:hyperlink>
    </w:p>
    <w:sectPr w:rsidR="006E040F" w:rsidRPr="002C0B96">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Nathan Brasse" w:date="2026-09-29T16:00:00Z" w:initials="NB">
    <w:p w14:paraId="7808B866" w14:textId="77777777" w:rsidR="001A5A46" w:rsidRDefault="001A5A46" w:rsidP="001A5A46">
      <w:pPr>
        <w:pStyle w:val="CommentText"/>
      </w:pPr>
      <w:r>
        <w:rPr>
          <w:rStyle w:val="CommentReference"/>
        </w:rPr>
        <w:annotationRef/>
      </w:r>
      <w:r>
        <w:t>How many homes are in Ontario?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808B86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B4147B4" w16cex:dateUtc="2026-09-29T20: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808B866" w16cid:durableId="0B4147B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Inter">
    <w:altName w:val="Cambria"/>
    <w:panose1 w:val="02000503000000020004"/>
    <w:charset w:val="00"/>
    <w:family w:val="auto"/>
    <w:pitch w:val="variable"/>
    <w:sig w:usb0="E0000AFF" w:usb1="5200A1FF" w:usb2="00000021" w:usb3="00000000" w:csb0="0000019F" w:csb1="00000000"/>
    <w:embedRegular r:id="rId1" w:fontKey="{3FC2014F-C537-4A72-A297-9B64D3A47C56}"/>
    <w:embedBold r:id="rId2" w:fontKey="{0DDA0BD6-4D30-4BF5-AAC7-44872CC491BF}"/>
    <w:embedItalic r:id="rId3" w:fontKey="{C404ADE8-137B-4BB1-8A6B-4F0607B9565F}"/>
    <w:embedBoldItalic r:id="rId4" w:fontKey="{7522BEEE-F2B4-4027-92AE-B0855C0DE9B9}"/>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embedRegular r:id="rId5" w:fontKey="{BE1B925F-C3E1-42E2-941A-D96003365C27}"/>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ED7CAE"/>
    <w:multiLevelType w:val="hybridMultilevel"/>
    <w:tmpl w:val="BD4CBEC8"/>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45BE43E2"/>
    <w:multiLevelType w:val="hybridMultilevel"/>
    <w:tmpl w:val="55727ED4"/>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52571C61"/>
    <w:multiLevelType w:val="hybridMultilevel"/>
    <w:tmpl w:val="5546C22C"/>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54406A92"/>
    <w:multiLevelType w:val="hybridMultilevel"/>
    <w:tmpl w:val="1E0E6DD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7464655B"/>
    <w:multiLevelType w:val="hybridMultilevel"/>
    <w:tmpl w:val="4E8CE064"/>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1840121407">
    <w:abstractNumId w:val="2"/>
  </w:num>
  <w:num w:numId="2" w16cid:durableId="808933932">
    <w:abstractNumId w:val="0"/>
  </w:num>
  <w:num w:numId="3" w16cid:durableId="397629805">
    <w:abstractNumId w:val="4"/>
  </w:num>
  <w:num w:numId="4" w16cid:durableId="889918291">
    <w:abstractNumId w:val="3"/>
  </w:num>
  <w:num w:numId="5" w16cid:durableId="1280843418">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athan Brasse">
    <w15:presenceInfo w15:providerId="AD" w15:userId="S::njbrasse@myseneca.ca::728d4d41-e4ea-4c2d-ac35-f3890535f53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saveSubset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6558"/>
    <w:rsid w:val="000636A7"/>
    <w:rsid w:val="00155AD1"/>
    <w:rsid w:val="0017108F"/>
    <w:rsid w:val="001A5A46"/>
    <w:rsid w:val="001D17BC"/>
    <w:rsid w:val="002072C5"/>
    <w:rsid w:val="00232641"/>
    <w:rsid w:val="002C0B96"/>
    <w:rsid w:val="002D064B"/>
    <w:rsid w:val="00315F04"/>
    <w:rsid w:val="00360B4F"/>
    <w:rsid w:val="00365C99"/>
    <w:rsid w:val="004E0A7A"/>
    <w:rsid w:val="00520DD9"/>
    <w:rsid w:val="00631011"/>
    <w:rsid w:val="006E040F"/>
    <w:rsid w:val="00721A8C"/>
    <w:rsid w:val="00772B66"/>
    <w:rsid w:val="007B1640"/>
    <w:rsid w:val="007C0A8A"/>
    <w:rsid w:val="007E59CC"/>
    <w:rsid w:val="008552CD"/>
    <w:rsid w:val="00884378"/>
    <w:rsid w:val="00887700"/>
    <w:rsid w:val="00925783"/>
    <w:rsid w:val="00927017"/>
    <w:rsid w:val="00962E03"/>
    <w:rsid w:val="00A34F35"/>
    <w:rsid w:val="00A61778"/>
    <w:rsid w:val="00A837FE"/>
    <w:rsid w:val="00AA2333"/>
    <w:rsid w:val="00AC3280"/>
    <w:rsid w:val="00AC7AE8"/>
    <w:rsid w:val="00B918A2"/>
    <w:rsid w:val="00E06558"/>
    <w:rsid w:val="00E11EA0"/>
    <w:rsid w:val="00F03599"/>
    <w:rsid w:val="00F17D1B"/>
    <w:rsid w:val="00F769BE"/>
    <w:rsid w:val="00FC4F6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76527"/>
  <w15:chartTrackingRefBased/>
  <w15:docId w15:val="{358E8B66-0551-4F93-AA37-74595E4B8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ter" w:eastAsiaTheme="minorHAnsi" w:hAnsi="Inter" w:cstheme="minorBidi"/>
        <w:kern w:val="2"/>
        <w:sz w:val="24"/>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18A2"/>
  </w:style>
  <w:style w:type="paragraph" w:styleId="Heading1">
    <w:name w:val="heading 1"/>
    <w:basedOn w:val="Normal"/>
    <w:next w:val="Normal"/>
    <w:link w:val="Heading1Char"/>
    <w:uiPriority w:val="9"/>
    <w:qFormat/>
    <w:rsid w:val="00E065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065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655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655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0655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0655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0655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0655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0655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65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065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6558"/>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655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0655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0655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0655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0655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0655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065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65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655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655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06558"/>
    <w:pPr>
      <w:spacing w:before="160"/>
      <w:jc w:val="center"/>
    </w:pPr>
    <w:rPr>
      <w:i/>
      <w:iCs/>
      <w:color w:val="404040" w:themeColor="text1" w:themeTint="BF"/>
    </w:rPr>
  </w:style>
  <w:style w:type="character" w:customStyle="1" w:styleId="QuoteChar">
    <w:name w:val="Quote Char"/>
    <w:basedOn w:val="DefaultParagraphFont"/>
    <w:link w:val="Quote"/>
    <w:uiPriority w:val="29"/>
    <w:rsid w:val="00E06558"/>
    <w:rPr>
      <w:i/>
      <w:iCs/>
      <w:color w:val="404040" w:themeColor="text1" w:themeTint="BF"/>
    </w:rPr>
  </w:style>
  <w:style w:type="paragraph" w:styleId="ListParagraph">
    <w:name w:val="List Paragraph"/>
    <w:basedOn w:val="Normal"/>
    <w:uiPriority w:val="34"/>
    <w:qFormat/>
    <w:rsid w:val="00E06558"/>
    <w:pPr>
      <w:ind w:left="720"/>
      <w:contextualSpacing/>
    </w:pPr>
  </w:style>
  <w:style w:type="character" w:styleId="IntenseEmphasis">
    <w:name w:val="Intense Emphasis"/>
    <w:basedOn w:val="DefaultParagraphFont"/>
    <w:uiPriority w:val="21"/>
    <w:qFormat/>
    <w:rsid w:val="00E06558"/>
    <w:rPr>
      <w:i/>
      <w:iCs/>
      <w:color w:val="0F4761" w:themeColor="accent1" w:themeShade="BF"/>
    </w:rPr>
  </w:style>
  <w:style w:type="paragraph" w:styleId="IntenseQuote">
    <w:name w:val="Intense Quote"/>
    <w:basedOn w:val="Normal"/>
    <w:next w:val="Normal"/>
    <w:link w:val="IntenseQuoteChar"/>
    <w:uiPriority w:val="30"/>
    <w:qFormat/>
    <w:rsid w:val="00E065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6558"/>
    <w:rPr>
      <w:i/>
      <w:iCs/>
      <w:color w:val="0F4761" w:themeColor="accent1" w:themeShade="BF"/>
    </w:rPr>
  </w:style>
  <w:style w:type="character" w:styleId="IntenseReference">
    <w:name w:val="Intense Reference"/>
    <w:basedOn w:val="DefaultParagraphFont"/>
    <w:uiPriority w:val="32"/>
    <w:qFormat/>
    <w:rsid w:val="00E06558"/>
    <w:rPr>
      <w:b/>
      <w:bCs/>
      <w:smallCaps/>
      <w:color w:val="0F4761" w:themeColor="accent1" w:themeShade="BF"/>
      <w:spacing w:val="5"/>
    </w:rPr>
  </w:style>
  <w:style w:type="paragraph" w:customStyle="1" w:styleId="TableParagraph">
    <w:name w:val="Table Paragraph"/>
    <w:basedOn w:val="Normal"/>
    <w:uiPriority w:val="1"/>
    <w:qFormat/>
    <w:rsid w:val="00E11EA0"/>
    <w:pPr>
      <w:widowControl w:val="0"/>
      <w:autoSpaceDE w:val="0"/>
      <w:autoSpaceDN w:val="0"/>
      <w:spacing w:before="109" w:after="0" w:line="240" w:lineRule="auto"/>
      <w:ind w:left="107"/>
    </w:pPr>
    <w:rPr>
      <w:rFonts w:ascii="Calibri" w:eastAsia="Calibri" w:hAnsi="Calibri" w:cs="Calibri"/>
      <w:kern w:val="0"/>
      <w:sz w:val="22"/>
      <w:lang w:val="en-US"/>
      <w14:ligatures w14:val="none"/>
    </w:rPr>
  </w:style>
  <w:style w:type="character" w:styleId="CommentReference">
    <w:name w:val="annotation reference"/>
    <w:basedOn w:val="DefaultParagraphFont"/>
    <w:uiPriority w:val="99"/>
    <w:semiHidden/>
    <w:unhideWhenUsed/>
    <w:rsid w:val="001A5A46"/>
    <w:rPr>
      <w:sz w:val="16"/>
      <w:szCs w:val="16"/>
    </w:rPr>
  </w:style>
  <w:style w:type="paragraph" w:styleId="CommentText">
    <w:name w:val="annotation text"/>
    <w:basedOn w:val="Normal"/>
    <w:link w:val="CommentTextChar"/>
    <w:uiPriority w:val="99"/>
    <w:unhideWhenUsed/>
    <w:rsid w:val="001A5A46"/>
    <w:pPr>
      <w:spacing w:line="240" w:lineRule="auto"/>
    </w:pPr>
    <w:rPr>
      <w:sz w:val="20"/>
      <w:szCs w:val="20"/>
    </w:rPr>
  </w:style>
  <w:style w:type="character" w:customStyle="1" w:styleId="CommentTextChar">
    <w:name w:val="Comment Text Char"/>
    <w:basedOn w:val="DefaultParagraphFont"/>
    <w:link w:val="CommentText"/>
    <w:uiPriority w:val="99"/>
    <w:rsid w:val="001A5A46"/>
    <w:rPr>
      <w:sz w:val="20"/>
      <w:szCs w:val="20"/>
    </w:rPr>
  </w:style>
  <w:style w:type="paragraph" w:styleId="CommentSubject">
    <w:name w:val="annotation subject"/>
    <w:basedOn w:val="CommentText"/>
    <w:next w:val="CommentText"/>
    <w:link w:val="CommentSubjectChar"/>
    <w:uiPriority w:val="99"/>
    <w:semiHidden/>
    <w:unhideWhenUsed/>
    <w:rsid w:val="001A5A46"/>
    <w:rPr>
      <w:b/>
      <w:bCs/>
    </w:rPr>
  </w:style>
  <w:style w:type="character" w:customStyle="1" w:styleId="CommentSubjectChar">
    <w:name w:val="Comment Subject Char"/>
    <w:basedOn w:val="CommentTextChar"/>
    <w:link w:val="CommentSubject"/>
    <w:uiPriority w:val="99"/>
    <w:semiHidden/>
    <w:rsid w:val="001A5A46"/>
    <w:rPr>
      <w:b/>
      <w:bCs/>
      <w:sz w:val="20"/>
      <w:szCs w:val="20"/>
    </w:rPr>
  </w:style>
  <w:style w:type="character" w:styleId="Hyperlink">
    <w:name w:val="Hyperlink"/>
    <w:basedOn w:val="DefaultParagraphFont"/>
    <w:uiPriority w:val="99"/>
    <w:unhideWhenUsed/>
    <w:rsid w:val="006E040F"/>
    <w:rPr>
      <w:color w:val="467886" w:themeColor="hyperlink"/>
      <w:u w:val="single"/>
    </w:rPr>
  </w:style>
  <w:style w:type="character" w:styleId="UnresolvedMention">
    <w:name w:val="Unresolved Mention"/>
    <w:basedOn w:val="DefaultParagraphFont"/>
    <w:uiPriority w:val="99"/>
    <w:semiHidden/>
    <w:unhideWhenUsed/>
    <w:rsid w:val="006E04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microsoft.com/office/2011/relationships/people" Target="people.xml"/><Relationship Id="rId5" Type="http://schemas.openxmlformats.org/officeDocument/2006/relationships/comments" Target="comment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cbc.ca/lite/story/1.2503659"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166</TotalTime>
  <Pages>4</Pages>
  <Words>1090</Words>
  <Characters>6218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Brasse</dc:creator>
  <cp:keywords/>
  <dc:description/>
  <cp:lastModifiedBy>Nathan Brasse</cp:lastModifiedBy>
  <cp:revision>10</cp:revision>
  <dcterms:created xsi:type="dcterms:W3CDTF">2026-09-29T18:15:00Z</dcterms:created>
  <dcterms:modified xsi:type="dcterms:W3CDTF">2026-09-29T21:38:00Z</dcterms:modified>
</cp:coreProperties>
</file>