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center"/>
        <w:rPr/>
      </w:pPr>
      <w:r/>
      <w:r>
        <w:t xml:space="preserve">Risk management context </w:t>
      </w:r>
      <w:r/>
    </w:p>
    <w:p w14:paraId="27EEEEAC">
      <w:pPr>
        <w:pStyle w:val="139"/>
        <w:pBdr/>
        <w:spacing/>
        <w:ind/>
        <w:rPr/>
      </w:pPr>
      <w:r>
        <w:t xml:space="preserve">Overview</w:t>
      </w:r>
      <w:r/>
    </w:p>
    <w:p w14:paraId="6A5FDC44">
      <w:pPr>
        <w:pBdr/>
        <w:spacing/>
        <w:ind/>
        <w:rPr/>
      </w:pPr>
      <w:r>
        <w:t xml:space="preserve">ITrustU is a multi product insurance company operating in Ontario Canada with </w:t>
      </w:r>
      <w:r>
        <w:t xml:space="preserve">fewer than 50 employees</w:t>
      </w:r>
      <w:r>
        <w:t xml:space="preserve"> across different functions. After completing the riskiness index document for the company over 4 different segments (Financial, Infrastructure, Reputation, Marketplace), the index  stands at 55 out of 80. Among these 4 segments, the ITrustU company is mostly prone to marketplace and reputation risks as they scored the highest with indices 15 and 14 </w:t>
      </w:r>
      <w:r>
        <w:t xml:space="preserve">followed by infrastructure and financial risks, which each scored 13 out of 20</w:t>
      </w:r>
      <w:r>
        <w:t xml:space="preserve">. Considering the size of the company, and its customer base, company should invest in mitigating the risk t</w:t>
      </w:r>
      <w:r>
        <w:t xml:space="preserve">to avoid catastrophes</w:t>
      </w:r>
      <w:r>
        <w:t xml:space="preserve"> by having a prepared game plan for all foreseeable scenarios.</w:t>
      </w:r>
      <w:r/>
    </w:p>
    <w:p w14:paraId="3E689CE7">
      <w:pPr>
        <w:pBdr/>
        <w:spacing/>
        <w:ind/>
        <w:rPr>
          <w:highlight w:val="none"/>
        </w:rPr>
      </w:pPr>
      <w:r>
        <w:t xml:space="preserve">ITrustU operates in Ontario Canada and many federal and provincial regulations apply to the company in all different segments and not satisfying any of the regulatory standards affects both </w:t>
      </w:r>
      <w:r>
        <w:t xml:space="preserve">the company's reputation and marketplace position</w:t>
      </w:r>
      <w:r>
        <w:t xml:space="preserve"> if the company goes through audits. </w:t>
      </w:r>
      <w:r>
        <w:t xml:space="preserve">These regulations include</w:t>
      </w:r>
      <w:r>
        <w:t xml:space="preserve"> PIPEDA </w:t>
      </w:r>
      <w:r>
        <w:t xml:space="preserve">(Personal Information Protection and Electronic Documents Act; Government of Canada, 2000)</w:t>
      </w:r>
      <w:r/>
      <w:r>
        <w:t xml:space="preserve">, OSFI </w:t>
      </w:r>
      <w:r>
        <w:t xml:space="preserve">(Office of the Superintendent of Financial Institutions [OSFI], n.d.)</w:t>
      </w:r>
      <w:r/>
      <w:r>
        <w:t xml:space="preserve">, </w:t>
      </w:r>
      <w:r/>
      <w:r>
        <w:t xml:space="preserve">FINTRAC (Financial Transactions and Reports Analysis Centre of Canada [FINTRAC], n.d.)</w:t>
      </w:r>
      <w:r/>
      <w:r>
        <w:t xml:space="preserve">, and many other regulators overseeing operations, finances, technologies, securities, and other aspects of the business.</w:t>
      </w:r>
      <w:r>
        <w:rPr>
          <w:highlight w:val="none"/>
        </w:rPr>
      </w:r>
    </w:p>
    <w:p w14:paraId="669D29E4">
      <w:pPr>
        <w:pBdr/>
        <w:spacing/>
        <w:ind/>
        <w:rPr/>
      </w:pPr>
      <w:r>
        <w:rPr>
          <w:highlight w:val="none"/>
        </w:rPr>
      </w:r>
      <w:r>
        <w:t xml:space="preserve">During the pandemic, the Insurance Bureau of Canada reported rising fraud and scams, noting that "some fraudsters view the pandemic as an opportunity to profit." It identified staged collisions, body shop and towing schemes that charged excessive cleaning </w:t>
      </w:r>
      <w:r>
        <w:t xml:space="preserve">fees and prolonged vehicle storage, and cyber attacks on small and medium-sized businesses as more companies moved to remote work (Insurance Bureau of Canada, 2021). </w:t>
      </w:r>
      <w:r>
        <w:t xml:space="preserve">With remote staff and a small team covering claims and IT, ITrustU could struggle to catch such risks before they become threats. Preparing in advance can help. For example, regular bulletins and staff training on identifying insurance fraud would make fron</w:t>
      </w:r>
      <w:r>
        <w:t xml:space="preserve">t-line employees the first line of defence, data analytics could flag suspicious claims, and well-kept documentation would help the company show compliance, including with FINTRAC requirements, if it is audited.</w:t>
      </w:r>
      <w:r/>
      <w:r>
        <w:rPr>
          <w:highlight w:val="none"/>
        </w:rPr>
      </w:r>
    </w:p>
    <w:p w14:paraId="76AA32D4">
      <w:pPr>
        <w:pBdr/>
        <w:spacing/>
        <w:ind/>
        <w:rPr>
          <w:highlight w:val="none"/>
        </w:rPr>
      </w:pPr>
      <w:r/>
      <w:r>
        <w:rPr>
          <w:highlight w:val="none"/>
        </w:rPr>
      </w:r>
      <w:r>
        <w:t xml:space="preserve">Overall</w:t>
      </w:r>
      <w:r>
        <w:rPr>
          <w:highlight w:val="none"/>
        </w:rPr>
        <w:t xml:space="preserve">, by starting a risk management plan to understand the weak points and the risky segments of the company, and having a proper plan to mitigate the risk if any of the events happen, the company can have enough agility to recover from risks if any happened and more import to avoid the risk. </w:t>
      </w:r>
      <w:r>
        <w:rPr>
          <w:highlight w:val="none"/>
        </w:rPr>
      </w:r>
      <w:r>
        <w:rPr>
          <w:highlight w:val="none"/>
        </w:rPr>
      </w:r>
    </w:p>
    <w:p w14:paraId="73AC5040">
      <w:pPr>
        <w:pBdr/>
        <w:spacing/>
        <w:ind/>
        <w:rPr>
          <w:highlight w:val="none"/>
        </w:rPr>
      </w:pPr>
      <w:r>
        <w:rPr>
          <w:highlight w:val="none"/>
        </w:rPr>
      </w:r>
      <w:r>
        <w:rPr>
          <w:highlight w:val="none"/>
        </w:rPr>
      </w:r>
      <w:r>
        <w:rPr>
          <w:highlight w:val="none"/>
        </w:rPr>
      </w:r>
    </w:p>
    <w:p w14:paraId="504296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347AAC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305031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5D75E2D7">
      <w:pPr>
        <w:pStyle w:val="139"/>
        <w:pBdr/>
        <w:spacing/>
        <w:ind/>
        <w:rPr>
          <w:highlight w:val="none"/>
          <w14:ligatures w14:val="none"/>
        </w:rPr>
      </w:pPr>
      <w:r>
        <w:t xml:space="preserve">References</w:t>
      </w:r>
      <w:r/>
    </w:p>
    <w:p w14:paraId="3DCD3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Financial Transactions and Reports Analysis Centre of Canada. (n.d.). </w:t>
      </w:r>
      <w:r>
        <w:rPr>
          <w:rFonts w:ascii="Times New Roman" w:hAnsi="Times New Roman" w:eastAsia="Times New Roman" w:cs="Times New Roman"/>
          <w:i/>
          <w:color w:val="000000"/>
          <w:sz w:val="24"/>
        </w:rPr>
        <w:t xml:space="preserve">Home</w:t>
      </w:r>
      <w:r>
        <w:rPr>
          <w:rFonts w:ascii="Times New Roman" w:hAnsi="Times New Roman" w:eastAsia="Times New Roman" w:cs="Times New Roman"/>
          <w:color w:val="000000"/>
          <w:sz w:val="24"/>
        </w:rPr>
        <w:t xml:space="preserve">. Government of Canada. </w:t>
      </w:r>
      <w:hyperlink r:id="rId8" w:tooltip="https://fintrac-canafe.canada.ca/intro-eng" w:history="1">
        <w:r>
          <w:rPr>
            <w:rStyle w:val="187"/>
            <w:rFonts w:ascii="Times New Roman" w:hAnsi="Times New Roman" w:eastAsia="Times New Roman" w:cs="Times New Roman"/>
            <w:color w:val="0000ee"/>
            <w:sz w:val="24"/>
            <w:u w:val="single"/>
          </w:rPr>
          <w:t xml:space="preserve">https://fintrac-canafe.canada.ca/intro-eng</w:t>
        </w:r>
      </w:hyperlink>
      <w:r/>
      <w:r/>
    </w:p>
    <w:p w14:paraId="6BC20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Government of Canada. (2000). </w:t>
      </w:r>
      <w:r>
        <w:rPr>
          <w:rFonts w:ascii="Times New Roman" w:hAnsi="Times New Roman" w:eastAsia="Times New Roman" w:cs="Times New Roman"/>
          <w:i/>
          <w:color w:val="000000"/>
          <w:sz w:val="24"/>
        </w:rPr>
        <w:t xml:space="preserve">Personal Information Protection and Electronic Documents Act</w:t>
      </w:r>
      <w:r>
        <w:rPr>
          <w:rFonts w:ascii="Times New Roman" w:hAnsi="Times New Roman" w:eastAsia="Times New Roman" w:cs="Times New Roman"/>
          <w:color w:val="000000"/>
          <w:sz w:val="24"/>
        </w:rPr>
        <w:t xml:space="preserve"> (S.C. 2000, c. 5). Justice Laws Website. </w:t>
      </w:r>
      <w:hyperlink r:id="rId9" w:tooltip="https://laws-lois.justice.gc.ca/eng/acts/p-8.6/page-1.html" w:history="1">
        <w:r>
          <w:rPr>
            <w:rStyle w:val="187"/>
            <w:rFonts w:ascii="Times New Roman" w:hAnsi="Times New Roman" w:eastAsia="Times New Roman" w:cs="Times New Roman"/>
            <w:color w:val="0000ee"/>
            <w:sz w:val="24"/>
            <w:u w:val="single"/>
          </w:rPr>
          <w:t xml:space="preserve">https://laws-lois.justice.gc.ca/eng/acts/p-8.6/page-1.html</w:t>
        </w:r>
      </w:hyperlink>
      <w:r/>
      <w:r/>
    </w:p>
    <w:p w14:paraId="4DA5BE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Insurance Bureau of Canada. (2021, March 1). </w:t>
      </w:r>
      <w:r>
        <w:rPr>
          <w:rFonts w:ascii="Times New Roman" w:hAnsi="Times New Roman" w:eastAsia="Times New Roman" w:cs="Times New Roman"/>
          <w:i/>
          <w:color w:val="000000"/>
          <w:sz w:val="24"/>
        </w:rPr>
        <w:t xml:space="preserve">Vigilance is key in fighting insurance fraud: IBC provides tips for consumers this Fraud Prevention Month</w:t>
      </w:r>
      <w:r>
        <w:rPr>
          <w:rFonts w:ascii="Times New Roman" w:hAnsi="Times New Roman" w:eastAsia="Times New Roman" w:cs="Times New Roman"/>
          <w:color w:val="000000"/>
          <w:sz w:val="24"/>
        </w:rPr>
        <w:t xml:space="preserve">. </w:t>
      </w:r>
      <w:hyperlink r:id="rId10" w:tooltip="https://www.ibc.ca/news-insights/news/vigilance-is-key-in-fighting-insurance-fraud" w:history="1">
        <w:r>
          <w:rPr>
            <w:rStyle w:val="187"/>
            <w:rFonts w:ascii="Times New Roman" w:hAnsi="Times New Roman" w:eastAsia="Times New Roman" w:cs="Times New Roman"/>
            <w:color w:val="0000ee"/>
            <w:sz w:val="24"/>
            <w:u w:val="single"/>
          </w:rPr>
          <w:t xml:space="preserve">https://www.ibc.ca/news-insights/news/vigilance-is-key-in-fighting-insurance-fraud</w:t>
        </w:r>
      </w:hyperlink>
      <w:r/>
      <w:r/>
    </w:p>
    <w:p w14:paraId="31705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Office of the Superintendent of Financial Institutions. (n.d.). </w:t>
      </w:r>
      <w:r>
        <w:rPr>
          <w:rFonts w:ascii="Times New Roman" w:hAnsi="Times New Roman" w:eastAsia="Times New Roman" w:cs="Times New Roman"/>
          <w:i/>
          <w:color w:val="000000"/>
          <w:sz w:val="24"/>
        </w:rPr>
        <w:t xml:space="preserve">Home</w:t>
      </w:r>
      <w:r>
        <w:rPr>
          <w:rFonts w:ascii="Times New Roman" w:hAnsi="Times New Roman" w:eastAsia="Times New Roman" w:cs="Times New Roman"/>
          <w:color w:val="000000"/>
          <w:sz w:val="24"/>
        </w:rPr>
        <w:t xml:space="preserve">. Government of Canada. </w:t>
      </w:r>
      <w:hyperlink r:id="rId11" w:tooltip="https://www.osfi-bsif.gc.ca/en" w:history="1">
        <w:r>
          <w:rPr>
            <w:rStyle w:val="187"/>
            <w:rFonts w:ascii="Times New Roman" w:hAnsi="Times New Roman" w:eastAsia="Times New Roman" w:cs="Times New Roman"/>
            <w:color w:val="0000ee"/>
            <w:sz w:val="24"/>
            <w:u w:val="single"/>
          </w:rPr>
          <w:t xml:space="preserve">https://www.osfi-bsif.gc.ca/en</w:t>
        </w:r>
      </w:hyperlink>
      <w:r/>
      <w:r/>
    </w:p>
    <w:p w14:paraId="23A28DB2">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1" w:customStyle="1">
    <w:name w:val="Table Paragraph"/>
    <w:basedOn w:val="674"/>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left"/>
    </w:pPr>
    <w:rPr>
      <w:rFonts w:ascii="Calibri" w:hAnsi="Calibri" w:eastAsia="Calibri" w:cs="Calibri"/>
      <w:b w:val="0"/>
      <w:bCs w:val="0"/>
      <w:i w:val="0"/>
      <w:iCs w:val="0"/>
      <w:caps w:val="0"/>
      <w:smallCaps w:val="0"/>
      <w:strike w:val="0"/>
      <w:vanish w:val="0"/>
      <w:color w:val="auto"/>
      <w:spacing w:val="0"/>
      <w:position w:val="0"/>
      <w:sz w:val="22"/>
      <w:szCs w:val="22"/>
      <w:highlight w:val="none"/>
      <w:u w:val="none"/>
      <w:vertAlign w:val="baseline"/>
      <w:rtl w:val="0"/>
      <w:cs w:val="0"/>
      <w:lang w:val="en-GB"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fintrac-canafe.canada.ca/intro-eng" TargetMode="External"/><Relationship Id="rId9" Type="http://schemas.openxmlformats.org/officeDocument/2006/relationships/hyperlink" Target="https://laws-lois.justice.gc.ca/eng/acts/p-8.6/page-1.html" TargetMode="External"/><Relationship Id="rId10" Type="http://schemas.openxmlformats.org/officeDocument/2006/relationships/hyperlink" Target="https://www.ibc.ca/news-insights/news/vigilance-is-key-in-fighting-insurance-fraud" TargetMode="External"/><Relationship Id="rId11" Type="http://schemas.openxmlformats.org/officeDocument/2006/relationships/hyperlink" Target="https://www.osfi-bsif.gc.ca/e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2026-10-06T22:01:12Z</dcterms:modified>
</cp:coreProperties>
</file>