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2F918" w14:textId="77777777" w:rsidR="00AD6306" w:rsidRPr="001807A5" w:rsidRDefault="00AD6306" w:rsidP="00AD6306">
      <w:pPr>
        <w:rPr>
          <w:b/>
          <w:bCs/>
          <w:color w:val="0D0D0D" w:themeColor="text1" w:themeTint="F2"/>
          <w:sz w:val="24"/>
          <w:szCs w:val="24"/>
          <w:lang w:val="en-CA"/>
        </w:rPr>
      </w:pPr>
      <w:r w:rsidRPr="001807A5">
        <w:rPr>
          <w:b/>
          <w:bCs/>
          <w:color w:val="0D0D0D" w:themeColor="text1" w:themeTint="F2"/>
          <w:sz w:val="24"/>
          <w:szCs w:val="24"/>
          <w:lang w:val="en-CA"/>
        </w:rPr>
        <w:t>1 Purpose and objectives</w:t>
      </w:r>
    </w:p>
    <w:p w14:paraId="42FAF1C0"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Our risk management strategy is to stabilize essential operations during the COVID-19 pandemic while protecting our employees, customer information, and ability to meet policyholder obligations. Our priorities are to maintain claims processing, premium collection, and customer support, with the financial resources and technology needed to keep these services running.</w:t>
      </w:r>
    </w:p>
    <w:p w14:paraId="3019191C"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Growth initiatives will be postponed until our routine operations have been reorganized and stabilized. We will continue to consider investments needed to support these operations, including digital improvements that may also support future growth.</w:t>
      </w:r>
    </w:p>
    <w:p w14:paraId="4DE51027" w14:textId="77777777" w:rsidR="00AD6306" w:rsidRPr="001807A5" w:rsidRDefault="00AD6306" w:rsidP="00AD6306">
      <w:pPr>
        <w:rPr>
          <w:b/>
          <w:bCs/>
          <w:color w:val="0D0D0D" w:themeColor="text1" w:themeTint="F2"/>
          <w:sz w:val="24"/>
          <w:szCs w:val="24"/>
          <w:lang w:val="en-CA"/>
        </w:rPr>
      </w:pPr>
      <w:r w:rsidRPr="001807A5">
        <w:rPr>
          <w:b/>
          <w:bCs/>
          <w:color w:val="0D0D0D" w:themeColor="text1" w:themeTint="F2"/>
          <w:sz w:val="24"/>
          <w:szCs w:val="24"/>
          <w:lang w:val="en-CA"/>
        </w:rPr>
        <w:t>2 Overall approach</w:t>
      </w:r>
    </w:p>
    <w:p w14:paraId="67A97EDC"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We will take a proactive and coordinated approach, using the Riskiness Index to guide further assessment and decisions about resources. The timing of our response will depend on the urgency of each issue, its potential consequences, and whether other changes need to happen first. The first three months will focus on immediate needs, including workforce adjustments. Longer-term improvements may extend beyond this period, and changes that work well may become part of our ongoing practices.</w:t>
      </w:r>
    </w:p>
    <w:p w14:paraId="6C749DD4"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Operational changes will be assessed, tested, and introduced in manageable stages. Increased use of cloud services may help employees work remotely and improve our ability to maintain services. Before making these changes, we need to consider security, costs, staff training, possible service disruption, and our reliance on external providers.</w:t>
      </w:r>
    </w:p>
    <w:p w14:paraId="50D7BB09"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We are willing to accept some carefully managed risks when changes help us maintain essential services. These may include additional costs, time for employees to learn new systems, and limited temporary disruption. We will use controls and oversight to limit risks to employee well-being, customer information, service continuity, and our financial position.</w:t>
      </w:r>
    </w:p>
    <w:p w14:paraId="7F2F2D32"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We will avoid growth initiatives that take resources away from stabilizing operations. Changes that exceed our agreed risk limits will require further assessment and approval before proceeding. The Risk Attitude and Appetite section will define these limits.</w:t>
      </w:r>
    </w:p>
    <w:p w14:paraId="4FE5CAB4" w14:textId="77777777" w:rsidR="00AD6306" w:rsidRPr="001807A5" w:rsidRDefault="00AD6306" w:rsidP="00AD6306">
      <w:pPr>
        <w:rPr>
          <w:b/>
          <w:bCs/>
          <w:color w:val="0D0D0D" w:themeColor="text1" w:themeTint="F2"/>
          <w:sz w:val="24"/>
          <w:szCs w:val="24"/>
          <w:lang w:val="en-CA"/>
        </w:rPr>
      </w:pPr>
      <w:r w:rsidRPr="001807A5">
        <w:rPr>
          <w:b/>
          <w:bCs/>
          <w:color w:val="0D0D0D" w:themeColor="text1" w:themeTint="F2"/>
          <w:sz w:val="24"/>
          <w:szCs w:val="24"/>
          <w:lang w:val="en-CA"/>
        </w:rPr>
        <w:t>3 Strategic priorities</w:t>
      </w:r>
    </w:p>
    <w:p w14:paraId="3D9E38D4"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Our Riskiness Index totals 55/80. Marketplace has the highest overall score, while IT resilience has the highest individual risk score. These findings point to several priorities: secure and reliable systems, stronger financial controls, adequate liquidity and reserves, staff and supplier availability, clear customer communication, and the ability to respond to changing demand.</w:t>
      </w:r>
    </w:p>
    <w:p w14:paraId="79F6E3E5"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We also need to consider how these risks affect one another. An IT failure or supplier disruption could affect revenue, claims processing, customer information, and trust at the same time. Our priorities will therefore reflect both the index scores and the urgency and wider effects of each risk.</w:t>
      </w:r>
    </w:p>
    <w:p w14:paraId="0F91C1F4" w14:textId="77777777" w:rsidR="00AD6306" w:rsidRPr="001807A5" w:rsidRDefault="00AD6306" w:rsidP="00AD6306">
      <w:pPr>
        <w:rPr>
          <w:b/>
          <w:bCs/>
          <w:color w:val="0D0D0D" w:themeColor="text1" w:themeTint="F2"/>
          <w:sz w:val="24"/>
          <w:szCs w:val="24"/>
          <w:lang w:val="en-CA"/>
        </w:rPr>
      </w:pPr>
      <w:r w:rsidRPr="001807A5">
        <w:rPr>
          <w:b/>
          <w:bCs/>
          <w:color w:val="0D0D0D" w:themeColor="text1" w:themeTint="F2"/>
          <w:sz w:val="24"/>
          <w:szCs w:val="24"/>
          <w:lang w:val="en-CA"/>
        </w:rPr>
        <w:t>4 Integration into business decisions</w:t>
      </w:r>
    </w:p>
    <w:p w14:paraId="65CA678F"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 xml:space="preserve">Risk management will inform our strategy, tactics, operations, and compliance (STOC). At the strategic level, decisions about digital investment and future growth will consider what we need to maintain services and what we can afford. Tactical decisions, such as changes to remote work or suppliers, will be assessed before they are introduced. In daily operations, risk information will help </w:t>
      </w:r>
      <w:r w:rsidRPr="001807A5">
        <w:rPr>
          <w:color w:val="0D0D0D" w:themeColor="text1" w:themeTint="F2"/>
          <w:sz w:val="24"/>
          <w:szCs w:val="24"/>
          <w:lang w:val="en-CA"/>
        </w:rPr>
        <w:lastRenderedPageBreak/>
        <w:t>us manage staffing, claims workloads, and customer service. Compliance requirements will guide how we handle information, maintain records, and meet our obligations to policyholders.</w:t>
      </w:r>
    </w:p>
    <w:p w14:paraId="20F3C273"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The Risk Resources section will identify what we need to support these priorities. The Risk Protocols section will explain how we assess, manage, document, and report risks. Together, these sections will help us make decisions that support our objectives and remain within our agreed limits.</w:t>
      </w:r>
    </w:p>
    <w:p w14:paraId="42778607" w14:textId="77777777" w:rsidR="00AD6306" w:rsidRPr="001807A5" w:rsidRDefault="00AD6306" w:rsidP="00AD6306">
      <w:pPr>
        <w:rPr>
          <w:b/>
          <w:bCs/>
          <w:color w:val="0D0D0D" w:themeColor="text1" w:themeTint="F2"/>
          <w:sz w:val="24"/>
          <w:szCs w:val="24"/>
          <w:lang w:val="en-CA"/>
        </w:rPr>
      </w:pPr>
      <w:r w:rsidRPr="001807A5">
        <w:rPr>
          <w:b/>
          <w:bCs/>
          <w:color w:val="0D0D0D" w:themeColor="text1" w:themeTint="F2"/>
          <w:sz w:val="24"/>
          <w:szCs w:val="24"/>
          <w:lang w:val="en-CA"/>
        </w:rPr>
        <w:t>5 Leadership and organizational commitment</w:t>
      </w:r>
    </w:p>
    <w:p w14:paraId="7E5D829F"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Executive management will support the strategy and establish a crisis leadership team with representatives from the relevant business functions. This team will coordinate our pandemic response and approve urgent operational changes within agreed spending, resource, and risk limits. Decisions outside its authority will be referred to executive management.</w:t>
      </w:r>
    </w:p>
    <w:p w14:paraId="646903EC"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Functional managers will remain responsible for risks in their areas and for identifying how their decisions may affect other departments. We will consider support from Tiva and outside specialists where additional resources or expertise would help. However, we need to confirm that this support is available and understand its terms before relying on it. Outsourcing work does not remove our responsibility for managing the associated risks.</w:t>
      </w:r>
    </w:p>
    <w:p w14:paraId="2BC85FCF" w14:textId="77777777" w:rsidR="00AD6306" w:rsidRPr="001807A5" w:rsidRDefault="00AD6306" w:rsidP="00AD6306">
      <w:pPr>
        <w:rPr>
          <w:b/>
          <w:bCs/>
          <w:color w:val="0D0D0D" w:themeColor="text1" w:themeTint="F2"/>
          <w:sz w:val="24"/>
          <w:szCs w:val="24"/>
          <w:lang w:val="en-CA"/>
        </w:rPr>
      </w:pPr>
      <w:r w:rsidRPr="001807A5">
        <w:rPr>
          <w:b/>
          <w:bCs/>
          <w:color w:val="0D0D0D" w:themeColor="text1" w:themeTint="F2"/>
          <w:sz w:val="24"/>
          <w:szCs w:val="24"/>
          <w:lang w:val="en-CA"/>
        </w:rPr>
        <w:t>6 Intended outcomes and review</w:t>
      </w:r>
    </w:p>
    <w:p w14:paraId="41105154"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We want our response to result in reliable services, secure remote work, manageable workloads, stronger controls, and more informed use of resources. We can assess progress by monitoring system availability, claims waiting to be processed, staffing in essential roles, secure remote access, available funds to meet obligations, and whether controls work as intended. The supporting Risk Agenda sections will establish our starting position, measurable targets, who reports the results, and how often they are reviewed.</w:t>
      </w:r>
    </w:p>
    <w:p w14:paraId="2A0CE825" w14:textId="77777777" w:rsidR="00AD6306" w:rsidRPr="001807A5" w:rsidRDefault="00AD6306" w:rsidP="00AD6306">
      <w:pPr>
        <w:rPr>
          <w:color w:val="0D0D0D" w:themeColor="text1" w:themeTint="F2"/>
          <w:sz w:val="24"/>
          <w:szCs w:val="24"/>
          <w:lang w:val="en-CA"/>
        </w:rPr>
      </w:pPr>
      <w:r w:rsidRPr="001807A5">
        <w:rPr>
          <w:color w:val="0D0D0D" w:themeColor="text1" w:themeTint="F2"/>
          <w:sz w:val="24"/>
          <w:szCs w:val="24"/>
          <w:lang w:val="en-CA"/>
        </w:rPr>
        <w:t>The crisis leadership team will review progress regularly and after significant incidents or changes in conditions. Executive management will consider resuming growth when services are stable, staffing is adequate, controls are working, and our financial position can support it. Temporary arrangements that prove effective will be considered for ongoing use.</w:t>
      </w:r>
    </w:p>
    <w:p w14:paraId="09F2DEE5" w14:textId="4E3F8504" w:rsidR="00D20378" w:rsidRPr="001807A5" w:rsidRDefault="00D20378" w:rsidP="002970BA">
      <w:pPr>
        <w:rPr>
          <w:b/>
          <w:bCs/>
          <w:color w:val="0D0D0D" w:themeColor="text1" w:themeTint="F2"/>
          <w:sz w:val="24"/>
          <w:szCs w:val="24"/>
        </w:rPr>
      </w:pPr>
    </w:p>
    <w:sectPr w:rsidR="00D20378" w:rsidRPr="001807A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077885">
    <w:abstractNumId w:val="8"/>
  </w:num>
  <w:num w:numId="2" w16cid:durableId="629632954">
    <w:abstractNumId w:val="6"/>
  </w:num>
  <w:num w:numId="3" w16cid:durableId="590045722">
    <w:abstractNumId w:val="5"/>
  </w:num>
  <w:num w:numId="4" w16cid:durableId="1259412722">
    <w:abstractNumId w:val="4"/>
  </w:num>
  <w:num w:numId="5" w16cid:durableId="539363051">
    <w:abstractNumId w:val="7"/>
  </w:num>
  <w:num w:numId="6" w16cid:durableId="408312579">
    <w:abstractNumId w:val="3"/>
  </w:num>
  <w:num w:numId="7" w16cid:durableId="1715275799">
    <w:abstractNumId w:val="2"/>
  </w:num>
  <w:num w:numId="8" w16cid:durableId="1999310149">
    <w:abstractNumId w:val="1"/>
  </w:num>
  <w:num w:numId="9" w16cid:durableId="189407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F17"/>
    <w:rsid w:val="0015074B"/>
    <w:rsid w:val="001807A5"/>
    <w:rsid w:val="001B2EF0"/>
    <w:rsid w:val="001E46CE"/>
    <w:rsid w:val="002127C4"/>
    <w:rsid w:val="0029639D"/>
    <w:rsid w:val="002970BA"/>
    <w:rsid w:val="002B2C6B"/>
    <w:rsid w:val="00326F90"/>
    <w:rsid w:val="007A0285"/>
    <w:rsid w:val="00935D1A"/>
    <w:rsid w:val="00AA1D8D"/>
    <w:rsid w:val="00AD6306"/>
    <w:rsid w:val="00B47730"/>
    <w:rsid w:val="00CB0664"/>
    <w:rsid w:val="00D20378"/>
    <w:rsid w:val="00EA2735"/>
    <w:rsid w:val="00F178D5"/>
    <w:rsid w:val="00FC693F"/>
    <w:rsid w:val="00FD37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B463E"/>
  <w14:defaultImageDpi w14:val="300"/>
  <w15:docId w15:val="{8CEEB0D4-AB7D-4077-97E4-A3644EB4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2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Chris Haritun</cp:lastModifiedBy>
  <cp:revision>3</cp:revision>
  <dcterms:created xsi:type="dcterms:W3CDTF">2013-12-23T23:15:00Z</dcterms:created>
  <dcterms:modified xsi:type="dcterms:W3CDTF">2026-10-10T17:42:00Z</dcterms:modified>
  <cp:category/>
</cp:coreProperties>
</file>