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Protocols</w:t>
      </w:r>
    </w:p>
    <w:p>
      <w:pPr>
        <w:pStyle w:val="Heading1"/>
      </w:pPr>
      <w:r>
        <w:t>Purpose and scope</w:t>
      </w:r>
    </w:p>
    <w:p>
      <w:r>
        <w:t>Our protocols turn the earlier sections into practice. The strategy says what we want to achieve, the appetite sets the risks and limits we are prepared to accept, and the protocols explain how we will put these decisions into action. They cover how we identify, assess, manage, record, report and review risks across every department, including remote work and activities supported by third-party providers.</w:t>
      </w:r>
    </w:p>
    <w:p>
      <w:r>
        <w:t>Since no one works on risk management full time, we will keep these procedures clear and practical. They will support essential services, employee safety, customer information and our continuing obligations. Functional managers remain responsible for their risks, while the crisis leadership team coordinates decisions within approved risk, spending and resource limits.</w:t>
      </w:r>
    </w:p>
    <w:p>
      <w:pPr>
        <w:pStyle w:val="Heading1"/>
      </w:pPr>
      <w:r>
        <w:t>Range of protocols</w:t>
      </w:r>
    </w:p>
    <w:p>
      <w:r>
        <w:t>The following protocols address the exposures identified in the Riskiness Index. Essential safeguards begin immediately; fuller procedures and testing will be developed during the first three months according to urgency, dependencies and available resources.</w:t>
      </w:r>
    </w:p>
    <w:tbl>
      <w:tblPr>
        <w:tblW w:type="auto" w:w="0"/>
        <w:tblLayout w:type="fixed"/>
        <w:tblLook w:firstColumn="1" w:firstRow="1" w:lastColumn="0" w:lastRow="0" w:noHBand="0" w:noVBand="1" w:val="04A0"/>
      </w:tblPr>
      <w:tblGrid>
        <w:gridCol w:w="3240"/>
        <w:gridCol w:w="4320"/>
        <w:gridCol w:w="2664"/>
      </w:tblGrid>
      <w:tr>
        <w:trPr>
          <w:cantSplit/>
          <w:tblHeader/>
        </w:trPr>
        <w:tc>
          <w:tcPr>
            <w:tcW w:type="dxa" w:w="3240"/>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Protocol</w:t>
            </w:r>
          </w:p>
        </w:tc>
        <w:tc>
          <w:tcPr>
            <w:tcW w:type="dxa" w:w="4320"/>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What it addresses</w:t>
            </w:r>
          </w:p>
        </w:tc>
        <w:tc>
          <w:tcPr>
            <w:tcW w:type="dxa" w:w="2664"/>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Timing</w:t>
            </w:r>
          </w:p>
        </w:tc>
      </w:tr>
      <w:tr>
        <w:trPr>
          <w:cantSplit/>
        </w:trPr>
        <w:tc>
          <w:tcPr>
            <w:tcW w:type="dxa" w:w="324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Risk assessment standard</w:t>
            </w:r>
          </w:p>
        </w:tc>
        <w:tc>
          <w:tcPr>
            <w:tcW w:type="dxa" w:w="432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Identification, assessment, prioritization and review of risks</w:t>
            </w:r>
          </w:p>
        </w:tc>
        <w:tc>
          <w:tcPr>
            <w:tcW w:type="dxa" w:w="26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Immediate</w:t>
            </w:r>
          </w:p>
        </w:tc>
      </w:tr>
      <w:tr>
        <w:trPr>
          <w:cantSplit/>
        </w:trPr>
        <w:tc>
          <w:tcPr>
            <w:tcW w:type="dxa" w:w="32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Remote access and secure working standard</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Secure access, suitable equipment and staff readiness</w:t>
            </w:r>
          </w:p>
        </w:tc>
        <w:tc>
          <w:tcPr>
            <w:tcW w:type="dxa" w:w="26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Immediate</w:t>
            </w:r>
          </w:p>
        </w:tc>
      </w:tr>
      <w:tr>
        <w:trPr>
          <w:cantSplit/>
        </w:trPr>
        <w:tc>
          <w:tcPr>
            <w:tcW w:type="dxa" w:w="324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Information security and data handling procedure</w:t>
            </w:r>
          </w:p>
        </w:tc>
        <w:tc>
          <w:tcPr>
            <w:tcW w:type="dxa" w:w="432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Access controls, confidential information and incident response</w:t>
            </w:r>
          </w:p>
        </w:tc>
        <w:tc>
          <w:tcPr>
            <w:tcW w:type="dxa" w:w="26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Immediate</w:t>
            </w:r>
          </w:p>
        </w:tc>
      </w:tr>
      <w:tr>
        <w:trPr>
          <w:cantSplit/>
        </w:trPr>
        <w:tc>
          <w:tcPr>
            <w:tcW w:type="dxa" w:w="32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Incident reporting and escalation procedure</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Reporting routes, urgent action and approval limits</w:t>
            </w:r>
          </w:p>
        </w:tc>
        <w:tc>
          <w:tcPr>
            <w:tcW w:type="dxa" w:w="26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Immediate</w:t>
            </w:r>
          </w:p>
        </w:tc>
      </w:tr>
      <w:tr>
        <w:trPr>
          <w:cantSplit/>
        </w:trPr>
        <w:tc>
          <w:tcPr>
            <w:tcW w:type="dxa" w:w="324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Health, safety and wellbeing procedure</w:t>
            </w:r>
          </w:p>
        </w:tc>
        <w:tc>
          <w:tcPr>
            <w:tcW w:type="dxa" w:w="432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Employee safety, workload and public health guidance</w:t>
            </w:r>
          </w:p>
        </w:tc>
        <w:tc>
          <w:tcPr>
            <w:tcW w:type="dxa" w:w="26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Immediate</w:t>
            </w:r>
          </w:p>
        </w:tc>
      </w:tr>
      <w:tr>
        <w:trPr>
          <w:cantSplit/>
        </w:trPr>
        <w:tc>
          <w:tcPr>
            <w:tcW w:type="dxa" w:w="32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Business continuity and recovery standard</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Loss of systems, network, power, premises or essential staff</w:t>
            </w:r>
          </w:p>
        </w:tc>
        <w:tc>
          <w:tcPr>
            <w:tcW w:type="dxa" w:w="26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Interim controls now; develop and test within three months</w:t>
            </w:r>
          </w:p>
        </w:tc>
      </w:tr>
      <w:tr>
        <w:trPr>
          <w:cantSplit/>
        </w:trPr>
        <w:tc>
          <w:tcPr>
            <w:tcW w:type="dxa" w:w="324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Third-party management procedure</w:t>
            </w:r>
          </w:p>
        </w:tc>
        <w:tc>
          <w:tcPr>
            <w:tcW w:type="dxa" w:w="432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Supplier performance, continuity, replacement and accountability</w:t>
            </w:r>
          </w:p>
        </w:tc>
        <w:tc>
          <w:tcPr>
            <w:tcW w:type="dxa" w:w="26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Interim controls now; develop within three months</w:t>
            </w:r>
          </w:p>
        </w:tc>
      </w:tr>
      <w:tr>
        <w:trPr>
          <w:cantSplit/>
        </w:trPr>
        <w:tc>
          <w:tcPr>
            <w:tcW w:type="dxa" w:w="32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Service continuity and claims handling procedure</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Claims delays, customer response and communication</w:t>
            </w:r>
          </w:p>
        </w:tc>
        <w:tc>
          <w:tcPr>
            <w:tcW w:type="dxa" w:w="26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Interim controls now; develop within three months</w:t>
            </w:r>
          </w:p>
        </w:tc>
      </w:tr>
      <w:tr>
        <w:trPr>
          <w:cantSplit/>
        </w:trPr>
        <w:tc>
          <w:tcPr>
            <w:tcW w:type="dxa" w:w="324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Financial control and liquidity procedure</w:t>
            </w:r>
          </w:p>
        </w:tc>
        <w:tc>
          <w:tcPr>
            <w:tcW w:type="dxa" w:w="4320"/>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Internal controls, cash forecasts and reserve monitoring</w:t>
            </w:r>
          </w:p>
        </w:tc>
        <w:tc>
          <w:tcPr>
            <w:tcW w:type="dxa" w:w="266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Interim controls now; develop within three months</w:t>
            </w:r>
          </w:p>
        </w:tc>
      </w:tr>
      <w:tr>
        <w:trPr>
          <w:cantSplit/>
        </w:trPr>
        <w:tc>
          <w:tcPr>
            <w:tcW w:type="dxa" w:w="32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Operational change procedure</w:t>
            </w:r>
          </w:p>
        </w:tc>
        <w:tc>
          <w:tcPr>
            <w:tcW w:type="dxa" w:w="432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Assessment, testing, approval and review of proposed changes</w:t>
            </w:r>
          </w:p>
        </w:tc>
        <w:tc>
          <w:tcPr>
            <w:tcW w:type="dxa" w:w="266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Immediate</w:t>
            </w:r>
          </w:p>
        </w:tc>
      </w:tr>
    </w:tbl>
    <w:p>
      <w:pPr>
        <w:spacing w:before="100"/>
      </w:pPr>
      <w:r>
        <w:t>Each protocol will name an accountable owner, required actions and records. Tiva standards may be adapted where available and suitable, after confirming support arrangements and checking applicable federal and provincial requirements.</w:t>
      </w:r>
    </w:p>
    <w:p>
      <w:pPr>
        <w:pStyle w:val="Heading1"/>
        <w:pageBreakBefore/>
      </w:pPr>
      <w:r>
        <w:t>How risk assessments will be done</w:t>
      </w:r>
    </w:p>
    <w:p>
      <w:r>
        <w:t>The Riskiness Index is our starting point. Managers will use its findings to identify exposures within their own processes and assess what action is needed. The index guides further assessment; it does not automatically determine the order of work.</w:t>
      </w:r>
    </w:p>
    <w:p>
      <w:r>
        <w:t>Managers will identify new or changing risks through discussions with staff, incident and near-miss records, service and claims reports, financial forecasts, supplier updates and control tests. With support from the risk coordinator, each assessment will describe the risk, its causes, the services and people affected, existing controls and any gaps in the information available.</w:t>
      </w:r>
    </w:p>
    <w:p>
      <w:r>
        <w:t>Priorities will reflect the relevant Riskiness Index score, urgency, potential consequences, and effects on other departments. A lower-scored exposure may require immediate attention if it threatens customer information, employee safety, an obligation or an essential service. Managers will also consider whether one action must be completed before another and whether a shared dependency could disrupt several services at once.</w:t>
      </w:r>
    </w:p>
    <w:p>
      <w:r>
        <w:t>For each proposed response, the owner will compare the expected reduction in exposure with the cost and resources required. This includes equipment, staff and management time, training, specialist support, implementation disruption and recurring provider costs. The assessment will consider practical alternatives and the risks that remain after each option. Necessary safeguards will not be rejected solely because their benefits cannot be expressed as immediate financial savings.</w:t>
      </w:r>
    </w:p>
    <w:p>
      <w:r>
        <w:t>The crisis leadership team will use these assessments to agree priorities and allocate resources within its authority. Decisions outside approved risk, spending or resource limits will go to executive management. Where evidence is incomplete, the owner will record what must be confirmed and identify any interim protection needed. Assessments will be updated after significant incidents, proposed changes, supplier disruption, failed tests or anticipated breaches of limits.</w:t>
      </w:r>
    </w:p>
    <w:p>
      <w:pPr>
        <w:pStyle w:val="Heading1"/>
      </w:pPr>
      <w:r>
        <w:t>How risks will be managed</w:t>
      </w:r>
    </w:p>
    <w:p>
      <w:r>
        <w:t>Risk management means turning the assessment into an agreed action. The owner will recommend whether to introduce or strengthen controls, change or postpone an activity, arrange appropriate insurance or reinsurance, or retain the remaining risk within approved limits. More than one response may be needed. For example, secure remote work may require equipment, access controls, staff training and additional technical support together.</w:t>
      </w:r>
    </w:p>
    <w:p>
      <w:r>
        <w:t>Each agreed response will have an action owner, required resources, a completion date and a way to check whether it works. The crisis leadership team will coordinate actions affecting several departments and resolve competing resource needs. Functional managers will remain responsible for implementation and for reporting obstacles or changes in exposure.</w:t>
      </w:r>
    </w:p>
    <w:p>
      <w:r>
        <w:t>Outsourcing does not automatically transfer risk or accountability. Any insurance, reinsurance or contractual protection must be checked for its scope and limitations. Acceptance of remaining risk must consider our appetite, obligations, service needs and ability to absorb losses. A low index score or a low-cost response does not, by itself, justify accepting a risk. Controls will be tested before the team treats the expected reduction in exposure as achieved.</w:t>
      </w:r>
    </w:p>
    <w:p>
      <w:pPr>
        <w:pStyle w:val="Heading1"/>
        <w:pageBreakBefore/>
      </w:pPr>
      <w:r>
        <w:t>How risks will be recorded</w:t>
      </w:r>
    </w:p>
    <w:p>
      <w:r>
        <w:t>The risk register will be our central record. Each entry will identify the risk and relevant Riskiness Index reference, affected functions, risk owner, existing controls, priority and reasons for it, agreed response, resource needs, action owner, completion date and review date. It will also record remaining exposure against our approved limits, supporting evidence and any information still needed. Proposed controls will be distinguished from controls already operating and tested.</w:t>
      </w:r>
    </w:p>
    <w:p>
      <w:r>
        <w:t>The risk coordinator will maintain the register, with managers responsible for the accuracy and timeliness of their entries. We will also record incidents, decisions, approvals and exceptions, including their reasons. Records will be available to authorized remote staff, protected according to their sensitivity and retained in line with applicable requirements.</w:t>
      </w:r>
    </w:p>
    <w:p>
      <w:pPr>
        <w:pStyle w:val="Heading1"/>
      </w:pPr>
      <w:r>
        <w:t>Weekly Scrum cycle during the first three months</w:t>
      </w:r>
    </w:p>
    <w:p>
      <w:r>
        <w:t>During the first three months, the crisis leadership team will use a Scrum approach with one-week sprint cycles to coordinate risk response work. The risk coordinator will organize the cycle and maintain a prioritized backlog of actions linked to the risk register. The register records our exposure and decisions; the backlog tracks the work needed to address them. The crisis leadership team will agree priorities, while assigned staff carry out the actions.</w:t>
      </w:r>
    </w:p>
    <w:p>
      <w:r>
        <w:t>At the start of each sprint, the team will agree a practical goal and select actions based on urgency, expected risk reduction, dependencies and available capacity. Each action will have an owner and clear completion criteria. Staff carrying out the work will use brief daily check-ins to identify progress, obstacles and support needs.</w:t>
      </w:r>
    </w:p>
    <w:p>
      <w:r>
        <w:t>The end-of-week sprint review will receive particular emphasis. Owners will present completed work, test results, changes in exposure and unresolved issues. The team will use this evidence to update priorities and reallocate resources within its authority. A brief retrospective will consider how coordination and working practices can improve before the next sprint. The coordinator will update the register, backlog and decision records to reflect these outcomes.</w:t>
      </w:r>
    </w:p>
    <w:p>
      <w:r>
        <w:t>Urgent incidents and anticipated breaches of limits will be addressed immediately rather than held for the next review. Any resulting changes to sprint work or resources will be recorded and approved at the appropriate level. At the end of the first three months, management will decide whether to continue or adjust the weekly cycle based on service stability, outstanding risks and staff capacity.</w:t>
      </w:r>
    </w:p>
    <w:p>
      <w:pPr>
        <w:pStyle w:val="Heading1"/>
      </w:pPr>
      <w:r>
        <w:t>How risks will be reported and escalated</w:t>
      </w:r>
    </w:p>
    <w:p>
      <w:r>
        <w:t>Employees will report new risks, incidents, near misses and anticipated breaches to their functional manager. Managers will notify the risk coordinator and provide updates for the weekly review. The coordinator will consolidate reports for the crisis leadership team, and the executive sponsor will ensure that executive management receives significant findings and decisions requiring its approval.</w:t>
      </w:r>
    </w:p>
    <w:p>
      <w:r>
        <w:t>For suspected data leaks, serious system damage or other urgent incidents, staff will immediately contact the designated response lead and their manager, using an alternate contact if either is unavailable. The reporting procedure will name these contacts; urgent action must not wait for routine reporting or a complete investigation. The coordinator will record the issue and ensure the crisis leadership team is informed.</w:t>
      </w:r>
    </w:p>
    <w:p>
      <w:r>
        <w:t>The team may reallocate staff, activate continuity arrangements and approve changes within delegated limits. Requests exceeding risk, spending or resource limits, including asset sales outside approved plans, will be referred promptly to executive management. Consolidated reporting will be weekly during the initial three months. Any later reduction in frequency requires management approval; critical conditions remain subject to ongoing monitoring and immediate escalation.</w:t>
      </w:r>
    </w:p>
    <w:p>
      <w:pPr>
        <w:pStyle w:val="Heading1"/>
        <w:pageBreakBefore/>
      </w:pPr>
      <w:r>
        <w:t>How operational changes will be controlled</w:t>
      </w:r>
    </w:p>
    <w:p>
      <w:r>
        <w:t>Changes to remote access, cloud services, recovery arrangements, suppliers or customer communications will follow a consistent process. The level of assessment and testing will reflect the potential consequences of the change, while maintaining the agreed approval requirements.</w:t>
      </w:r>
    </w:p>
    <w:p>
      <w:pPr>
        <w:pStyle w:val="Heading2"/>
      </w:pPr>
      <w:r>
        <w:t>Describe and assess the change</w:t>
      </w:r>
    </w:p>
    <w:p>
      <w:r>
        <w:t>The proposing manager will explain the purpose, affected services and departments, expected benefits, resource needs and implementation risks. The assessment will consider information security, employee readiness, continuity, supplier dependence, recurring costs and applicable obligations. Relevant functions will contribute before a decision is made.</w:t>
      </w:r>
    </w:p>
    <w:p>
      <w:pPr>
        <w:pStyle w:val="Heading2"/>
      </w:pPr>
      <w:r>
        <w:t>Plan and test</w:t>
      </w:r>
    </w:p>
    <w:p>
      <w:r>
        <w:t>The owner will identify the controls, training, communications and support needed. Changes will be tested on a manageable scale before wider use where practical. IT changes will include appropriate access, capacity and recovery checks. Supplier changes will include continuity and handover checks, and customer messages will be checked for accuracy, consistency and approval. A fallback or rollback plan will be documented where relevant.</w:t>
      </w:r>
    </w:p>
    <w:p>
      <w:pPr>
        <w:pStyle w:val="Heading2"/>
      </w:pPr>
      <w:r>
        <w:t>Approve</w:t>
      </w:r>
    </w:p>
    <w:p>
      <w:r>
        <w:t>The change record will include the assessment, test evidence, remaining risks and resource requirements. Changes within delegated authority will be approved by the designated manager or crisis leadership team. Changes outside approved limits will require further assessment and executive approval before proceeding.</w:t>
      </w:r>
    </w:p>
    <w:p>
      <w:pPr>
        <w:pStyle w:val="Heading2"/>
      </w:pPr>
      <w:r>
        <w:t>Implement and monitor</w:t>
      </w:r>
    </w:p>
    <w:p>
      <w:r>
        <w:t>Approved changes will be introduced in manageable stages, with named responsibility for monitoring and responding to problems. Staff and affected parties will receive the information they need. Urgent changes will still require an authorized decision, documented risks and appropriate safeguards; any deferred testing will be recorded and completed promptly.</w:t>
      </w:r>
    </w:p>
    <w:p>
      <w:pPr>
        <w:pStyle w:val="Heading2"/>
      </w:pPr>
      <w:r>
        <w:t>Review the outcome</w:t>
      </w:r>
    </w:p>
    <w:p>
      <w:r>
        <w:t>The owner will check whether the change achieves its purpose, whether controls work and whether new risks or service problems have emerged. Findings and corrective actions will be recorded in the register and sprint backlog. Significant problems will be escalated immediately rather than waiting for the next sprint review.</w:t>
      </w:r>
    </w:p>
    <w:p>
      <w:pPr>
        <w:pStyle w:val="Heading1"/>
      </w:pPr>
      <w:r>
        <w:t>Review and assurance</w:t>
      </w:r>
    </w:p>
    <w:p>
      <w:r>
        <w:t>The crisis leadership team will review progress through the weekly sprint cycle and after serious incidents, failed tests or significant changes in operating conditions. Protocols will also be reviewed at the end of the first three months. Recovery and control tests will follow an agreed schedule based on criticality and will be repeated after material changes where needed.</w:t>
      </w:r>
    </w:p>
    <w:p>
      <w:r>
        <w:t>Failed tests will be recorded, assessed and assigned corrective actions, with immediate escalation where continuity or approved limits are threatened. Independent review of internal controls may draw on Tiva or specialist support once its availability, scope and terms are confirmed. Review findings will be tracked until corrective actions have been verified. Temporary arrangements that work well will be considered for ongoing use.</w:t>
      </w:r>
    </w:p>
    <w:p>
      <w:pPr>
        <w:pStyle w:val="Heading1"/>
        <w:pageBreakBefore/>
      </w:pPr>
      <w:r>
        <w:t>Measures and evidence</w:t>
      </w:r>
    </w:p>
    <w:p>
      <w:r>
        <w:t>The following measures will show whether our response is improving continuity and control. Departmental owners will provide evidence to the risk coordinator for weekly reporting. Finance will agree financial definitions and limits with those responsible for Risk Resources. Critical conditions will be monitored between reports, with immediate escalation when an approved limit is threatened.</w:t>
      </w:r>
    </w:p>
    <w:tbl>
      <w:tblPr>
        <w:tblW w:type="auto" w:w="0"/>
        <w:tblLayout w:type="fixed"/>
        <w:tblLook w:firstColumn="1" w:firstRow="1" w:lastColumn="0" w:lastRow="0" w:noHBand="0" w:noVBand="1" w:val="04A0"/>
      </w:tblPr>
      <w:tblGrid>
        <w:gridCol w:w="1584"/>
        <w:gridCol w:w="3672"/>
        <w:gridCol w:w="1656"/>
        <w:gridCol w:w="3312"/>
      </w:tblGrid>
      <w:tr>
        <w:trPr>
          <w:cantSplit/>
          <w:tblHeader/>
        </w:trPr>
        <w:tc>
          <w:tcPr>
            <w:tcW w:type="dxa" w:w="1584"/>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Measure</w:t>
            </w:r>
          </w:p>
        </w:tc>
        <w:tc>
          <w:tcPr>
            <w:tcW w:type="dxa" w:w="367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Definition and evidence</w:t>
            </w:r>
          </w:p>
        </w:tc>
        <w:tc>
          <w:tcPr>
            <w:tcW w:type="dxa" w:w="1656"/>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Owner</w:t>
            </w:r>
          </w:p>
        </w:tc>
        <w:tc>
          <w:tcPr>
            <w:tcW w:type="dxa" w:w="3312"/>
            <w:vAlign w:val="center"/>
            <w:shd w:fill="404040"/>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Baseline or target to establish</w:t>
            </w:r>
          </w:p>
        </w:tc>
      </w:tr>
      <w:tr>
        <w:trPr>
          <w:cantSplit/>
        </w:trPr>
        <w:tc>
          <w:tcPr>
            <w:tcW w:type="dxa" w:w="158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Service availability</w:t>
            </w:r>
          </w:p>
        </w:tc>
        <w:tc>
          <w:tcPr>
            <w:tcW w:type="dxa" w:w="367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Share of required service hours available; duration and impact of outages. System monitoring and incident logs.</w:t>
            </w:r>
          </w:p>
        </w:tc>
        <w:tc>
          <w:tcPr>
            <w:tcW w:type="dxa" w:w="165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IT</w:t>
            </w:r>
          </w:p>
        </w:tc>
        <w:tc>
          <w:tcPr>
            <w:tcW w:type="dxa" w:w="33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Confirm required service hours, current availability and approved outage and recovery limits.</w:t>
            </w:r>
          </w:p>
        </w:tc>
      </w:tr>
      <w:tr>
        <w:trPr>
          <w:cantSplit/>
        </w:trPr>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Claims backlog and response times</w:t>
            </w:r>
          </w:p>
        </w:tc>
        <w:tc>
          <w:tcPr>
            <w:tcW w:type="dxa" w:w="36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Number and age of outstanding claims; customer enquiry response times. Claims and customer service records.</w:t>
            </w:r>
          </w:p>
        </w:tc>
        <w:tc>
          <w:tcPr>
            <w:tcW w:type="dxa" w:w="16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Claims and customer support</w:t>
            </w:r>
          </w:p>
        </w:tc>
        <w:tc>
          <w:tcPr>
            <w:tcW w:type="dxa" w:w="33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Establish normal volumes, processing and response times, capacity and service obligations before agreeing delay limits.</w:t>
            </w:r>
          </w:p>
        </w:tc>
      </w:tr>
      <w:tr>
        <w:trPr>
          <w:cantSplit/>
        </w:trPr>
        <w:tc>
          <w:tcPr>
            <w:tcW w:type="dxa" w:w="158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Secure remote access</w:t>
            </w:r>
          </w:p>
        </w:tc>
        <w:tc>
          <w:tcPr>
            <w:tcW w:type="dxa" w:w="367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Share of staff needing remote access who have approved equipment, access and required training. Access records, equipment checks and training logs.</w:t>
            </w:r>
          </w:p>
        </w:tc>
        <w:tc>
          <w:tcPr>
            <w:tcW w:type="dxa" w:w="165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IT and functional managers</w:t>
            </w:r>
          </w:p>
        </w:tc>
        <w:tc>
          <w:tcPr>
            <w:tcW w:type="dxa" w:w="33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Confirm eligible staff and current compliance. Required security checks must be completed before access is enabled.</w:t>
            </w:r>
          </w:p>
        </w:tc>
      </w:tr>
      <w:tr>
        <w:trPr>
          <w:cantSplit/>
        </w:trPr>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Essential-role coverage</w:t>
            </w:r>
          </w:p>
        </w:tc>
        <w:tc>
          <w:tcPr>
            <w:tcW w:type="dxa" w:w="36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Essential roles with an available, trained backup; gaps in primary and backup coverage. Staffing and training records.</w:t>
            </w:r>
          </w:p>
        </w:tc>
        <w:tc>
          <w:tcPr>
            <w:tcW w:type="dxa" w:w="16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Functional managers and HR</w:t>
            </w:r>
          </w:p>
        </w:tc>
        <w:tc>
          <w:tcPr>
            <w:tcW w:type="dxa" w:w="33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Identify essential roles, available backups and agreed minimum coverage.</w:t>
            </w:r>
          </w:p>
        </w:tc>
      </w:tr>
      <w:tr>
        <w:trPr>
          <w:cantSplit/>
        </w:trPr>
        <w:tc>
          <w:tcPr>
            <w:tcW w:type="dxa" w:w="158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Liquidity and obligations</w:t>
            </w:r>
          </w:p>
        </w:tc>
        <w:tc>
          <w:tcPr>
            <w:tcW w:type="dxa" w:w="367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Forecast cash available against expected claims and essential operating payments. Cash-flow forecasts and financial records.</w:t>
            </w:r>
          </w:p>
        </w:tc>
        <w:tc>
          <w:tcPr>
            <w:tcW w:type="dxa" w:w="165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Finance</w:t>
            </w:r>
          </w:p>
        </w:tc>
        <w:tc>
          <w:tcPr>
            <w:tcW w:type="dxa" w:w="33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Confirm opening cash, forecast assumptions, commitments and approved minimum cash levels.</w:t>
            </w:r>
          </w:p>
        </w:tc>
      </w:tr>
      <w:tr>
        <w:trPr>
          <w:cantSplit/>
        </w:trPr>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Pandemic response costs</w:t>
            </w:r>
          </w:p>
        </w:tc>
        <w:tc>
          <w:tcPr>
            <w:tcW w:type="dxa" w:w="36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Actual and committed spending against approved budgets, including recurring provider costs. Budget, invoice and commitment records.</w:t>
            </w:r>
          </w:p>
        </w:tc>
        <w:tc>
          <w:tcPr>
            <w:tcW w:type="dxa" w:w="16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Finance and resource owners</w:t>
            </w:r>
          </w:p>
        </w:tc>
        <w:tc>
          <w:tcPr>
            <w:tcW w:type="dxa" w:w="33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Agree budgets and spending authority; track forecast overruns and proposed commitments.</w:t>
            </w:r>
          </w:p>
        </w:tc>
      </w:tr>
      <w:tr>
        <w:trPr>
          <w:cantSplit/>
        </w:trPr>
        <w:tc>
          <w:tcPr>
            <w:tcW w:type="dxa" w:w="1584"/>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Control and recovery results</w:t>
            </w:r>
          </w:p>
        </w:tc>
        <w:tc>
          <w:tcPr>
            <w:tcW w:type="dxa" w:w="367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Tests passed or failed; unresolved findings and action age. Control checks, backup and recovery test records.</w:t>
            </w:r>
          </w:p>
        </w:tc>
        <w:tc>
          <w:tcPr>
            <w:tcW w:type="dxa" w:w="1656"/>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IT and relevant control owners</w:t>
            </w:r>
          </w:p>
        </w:tc>
        <w:tc>
          <w:tcPr>
            <w:tcW w:type="dxa" w:w="3312"/>
            <w:vAlign w:val="center"/>
            <w:shd w:fill="F2F2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Document existing results, test frequency, success criteria and recovery limits. Failed critical tests trigger prompt escalation.</w:t>
            </w:r>
          </w:p>
        </w:tc>
      </w:tr>
      <w:tr>
        <w:trPr>
          <w:cantSplit/>
        </w:trPr>
        <w:tc>
          <w:tcPr>
            <w:tcW w:type="dxa" w:w="15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Critical supplier continuity</w:t>
            </w:r>
          </w:p>
        </w:tc>
        <w:tc>
          <w:tcPr>
            <w:tcW w:type="dxa" w:w="36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Missed service commitments, disruptions and readiness of alternatives. Supplier reports, contracts and service logs.</w:t>
            </w:r>
          </w:p>
        </w:tc>
        <w:tc>
          <w:tcPr>
            <w:tcW w:type="dxa" w:w="16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Assigned supplier owners</w:t>
            </w:r>
          </w:p>
        </w:tc>
        <w:tc>
          <w:tcPr>
            <w:tcW w:type="dxa" w:w="331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40" w:line="240" w:lineRule="auto"/>
            </w:pPr>
            <w:r>
              <w:rPr>
                <w:b w:val="0"/>
                <w:color w:val="000000"/>
                <w:sz w:val="19"/>
              </w:rPr>
              <w:t>Confirm critical services, agreed service levels, current performance and viable replacement arrangements.</w:t>
            </w:r>
          </w:p>
        </w:tc>
      </w:tr>
    </w:tbl>
    <w:p>
      <w:pPr>
        <w:spacing w:before="100"/>
      </w:pPr>
      <w:r>
        <w:t>At the first sprint planning session, each owner will identify available baseline information and assign any missing data collection. Proposed targets, monitoring frequency and escalation thresholds will be submitted to management for approval. Interim safeguards will remain in place while evidence is gathered. Performance targets will track improvement; risk thresholds will determine when management attention or approval is required.</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Internal planning document</w:t>
    </w:r>
    <w:r>
      <w:t xml:space="preserve">        Risk Protocols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55555"/>
      </w:rPr>
      <w:t>ITrustU  |  Risk Agenda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ITrustU Risk Protocols</dc:title>
  <dc:subject>Revised Risk Agenda section</dc:subject>
  <dc:creator>ITrustU</dc:creator>
  <cp:keywords/>
  <dc:description>generated by python-docx</dc:description>
  <cp:lastModifiedBy/>
  <cp:revision>1</cp:revision>
  <dcterms:created xsi:type="dcterms:W3CDTF">2013-12-23T23:15:00Z</dcterms:created>
  <dcterms:modified xsi:type="dcterms:W3CDTF">2013-12-23T23:15:00Z</dcterms:modified>
  <cp:category/>
</cp:coreProperties>
</file>