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C7C78" w14:textId="77777777" w:rsidR="00262BFD" w:rsidRPr="00262BFD" w:rsidRDefault="00262BFD" w:rsidP="00262BFD">
      <w:pPr>
        <w:rPr>
          <w:b/>
          <w:bCs/>
        </w:rPr>
      </w:pPr>
      <w:r w:rsidRPr="00262BFD">
        <w:rPr>
          <w:b/>
          <w:bCs/>
        </w:rPr>
        <w:t>Architecture and workflows</w:t>
      </w:r>
    </w:p>
    <w:p w14:paraId="4A6FF79C" w14:textId="77777777" w:rsidR="00262BFD" w:rsidRPr="00262BFD" w:rsidRDefault="00262BFD" w:rsidP="00262BFD">
      <w:r w:rsidRPr="00262BFD">
        <w:t>1. Unified channel gateway: Accept voice calls, SMS, and portal chat through channel-specific adapters. This provides consistent downstream processing.</w:t>
      </w:r>
    </w:p>
    <w:p w14:paraId="447B0AB7" w14:textId="77777777" w:rsidR="00262BFD" w:rsidRPr="00262BFD" w:rsidRDefault="00262BFD" w:rsidP="00262BFD">
      <w:r w:rsidRPr="00262BFD">
        <w:t>2. Voice processing: Convert live speech to text and approved responses back to speech. Avoid storing raw audio by default; retention requires an approved policy.</w:t>
      </w:r>
    </w:p>
    <w:p w14:paraId="3F56EFAA" w14:textId="77777777" w:rsidR="00262BFD" w:rsidRPr="00262BFD" w:rsidRDefault="00262BFD" w:rsidP="00262BFD">
      <w:r w:rsidRPr="00262BFD">
        <w:t>3. Portal authentication: Reuse the portal's authenticated patient session, subject to authorization checks.</w:t>
      </w:r>
    </w:p>
    <w:p w14:paraId="053516CA" w14:textId="77777777" w:rsidR="00262BFD" w:rsidRPr="00262BFD" w:rsidRDefault="00262BFD" w:rsidP="00262BFD">
      <w:r w:rsidRPr="00262BFD">
        <w:t>4. SMS security: Treat incoming phone numbers as unverified. Send sensitive information only through an approved secure channel.</w:t>
      </w:r>
    </w:p>
    <w:p w14:paraId="60B8088A" w14:textId="77777777" w:rsidR="00262BFD" w:rsidRPr="00262BFD" w:rsidRDefault="00262BFD" w:rsidP="00262BFD">
      <w:r w:rsidRPr="00262BFD">
        <w:t>5. Multilingual processing: Support English and Spanish with tested speech recognition and human-language fallback.</w:t>
      </w:r>
    </w:p>
    <w:p w14:paraId="0F2C8913" w14:textId="77777777" w:rsidR="00262BFD" w:rsidRPr="00262BFD" w:rsidRDefault="00262BFD" w:rsidP="00262BFD">
      <w:r w:rsidRPr="00262BFD">
        <w:t>6. Safety-first screening: Apply clinician-approved urgent-symptom detection before ordinary administrative workflows.</w:t>
      </w:r>
    </w:p>
    <w:p w14:paraId="3A9369CE" w14:textId="77777777" w:rsidR="00262BFD" w:rsidRPr="00262BFD" w:rsidRDefault="00262BFD" w:rsidP="00262BFD">
      <w:r w:rsidRPr="00262BFD">
        <w:t>7. Intent orchestration: Route requests to controlled scheduling, refill, insurance, authorization, and discharge-follow-up workflows.</w:t>
      </w:r>
    </w:p>
    <w:p w14:paraId="444EDDC0" w14:textId="77777777" w:rsidR="00262BFD" w:rsidRPr="00262BFD" w:rsidRDefault="00262BFD" w:rsidP="00262BFD">
      <w:r w:rsidRPr="00262BFD">
        <w:t>8. Identity and consent: Verify patients and legally authorized representatives before accessing or disclosing protected records.</w:t>
      </w:r>
    </w:p>
    <w:p w14:paraId="209DE764" w14:textId="77777777" w:rsidR="00262BFD" w:rsidRPr="00262BFD" w:rsidRDefault="00262BFD" w:rsidP="00262BFD">
      <w:r w:rsidRPr="00262BFD">
        <w:t>9. Constrained AI actions: Use allowlisted tools, validated arguments, role-based permissions, and audit logs. The LLM cannot freely modify records.</w:t>
      </w:r>
    </w:p>
    <w:p w14:paraId="64C2BC98" w14:textId="77777777" w:rsidR="00262BFD" w:rsidRPr="00262BFD" w:rsidRDefault="00262BFD" w:rsidP="00262BFD">
      <w:r w:rsidRPr="00262BFD">
        <w:t>10. Epic integration: Use approved Epic APIs and interfaces for patient lookup, scheduling, task creation, and permitted status retrieval.</w:t>
      </w:r>
    </w:p>
    <w:p w14:paraId="1DCA082F" w14:textId="77777777" w:rsidR="00262BFD" w:rsidRPr="00262BFD" w:rsidRDefault="00262BFD" w:rsidP="00262BFD">
      <w:r w:rsidRPr="00262BFD">
        <w:t>11. Scheduling: Check appointment eligibility and available slots before creating or changing bookings. Confirm successful transactions.</w:t>
      </w:r>
    </w:p>
    <w:p w14:paraId="6AA8BB4E" w14:textId="77777777" w:rsidR="00262BFD" w:rsidRPr="00262BFD" w:rsidRDefault="00262BFD" w:rsidP="00262BFD">
      <w:r w:rsidRPr="00262BFD">
        <w:t>12. Medication workflow: Collect refill details and submit an approved request for clinical review, without independently prescribing.</w:t>
      </w:r>
    </w:p>
    <w:p w14:paraId="66267D12" w14:textId="77777777" w:rsidR="00262BFD" w:rsidRPr="00262BFD" w:rsidRDefault="00262BFD" w:rsidP="00262BFD">
      <w:r w:rsidRPr="00262BFD">
        <w:t>13. Insurance and authorization: Retrieve authoritative available statuses; route unavailable or ambiguous results to trained staff.</w:t>
      </w:r>
    </w:p>
    <w:p w14:paraId="6D98FE4B" w14:textId="77777777" w:rsidR="00262BFD" w:rsidRPr="00262BFD" w:rsidRDefault="00262BFD" w:rsidP="00262BFD">
      <w:r w:rsidRPr="00262BFD">
        <w:t>14. Discharge follow-up: Receive discharge events, calculate the two-business-day deadline using clinic calendars, and schedule approved outreach.</w:t>
      </w:r>
    </w:p>
    <w:p w14:paraId="21606C86" w14:textId="77777777" w:rsidR="00262BFD" w:rsidRPr="00262BFD" w:rsidRDefault="00262BFD" w:rsidP="00262BFD">
      <w:r w:rsidRPr="00262BFD">
        <w:t>15. Human handoff and reliability: Transfer safety-sensitive or unresolved requests with context, maintain prioritized staff queues, encrypt data, audit access, and provide outage fallback.</w:t>
      </w:r>
    </w:p>
    <w:p w14:paraId="53A8CBAC" w14:textId="77777777" w:rsidR="00BC0C78" w:rsidRDefault="00BC0C78"/>
    <w:p w14:paraId="376F125F" w14:textId="77777777" w:rsidR="00262BFD" w:rsidRPr="00262BFD" w:rsidRDefault="00262BFD" w:rsidP="00262BFD">
      <w:r w:rsidRPr="00262BFD">
        <w:lastRenderedPageBreak/>
        <w:t>16. Case A — Refill and insurance change: Verify identity, create a lisinopril refill request for authorized review, and separately check the new Humana plan's eligibility information. Do not guarantee coverage or authorize the refill.</w:t>
      </w:r>
    </w:p>
    <w:p w14:paraId="3B20A1ED" w14:textId="77777777" w:rsidR="00262BFD" w:rsidRPr="00262BFD" w:rsidRDefault="00262BFD" w:rsidP="00262BFD">
      <w:r w:rsidRPr="00262BFD">
        <w:t>17. Case B — Worsening heart-failure symptoms: Treat worsening shortness of breath and swelling as potentially urgent. Give clinician-approved emergency guidance, including calling emergency services when indicated, and initiate urgent escalation. Do not diagnose or let a routine callback delay care.</w:t>
      </w:r>
    </w:p>
    <w:p w14:paraId="6DF0CBA6" w14:textId="77777777" w:rsidR="00262BFD" w:rsidRPr="00262BFD" w:rsidRDefault="00262BFD" w:rsidP="00262BFD">
      <w:r w:rsidRPr="00262BFD">
        <w:t>18. Case C — Spanish MRI inquiry: Respond in Spanish. Verify the caller's authorization to access the spouse's information, retrieve the MRI authorization status if available, or create a staff follow-up task.</w:t>
      </w:r>
    </w:p>
    <w:p w14:paraId="49C1953E" w14:textId="77777777" w:rsidR="00262BFD" w:rsidRPr="00262BFD" w:rsidRDefault="00262BFD" w:rsidP="00262BFD">
      <w:r w:rsidRPr="00262BFD">
        <w:t>19. Case D — Unknown SMS requesting A1C results: Do not disclose results based on name and date of birth. Direct the sender to an authenticated portal or approved verification process.</w:t>
      </w:r>
    </w:p>
    <w:p w14:paraId="228741C5" w14:textId="77777777" w:rsidR="00262BFD" w:rsidRPr="00262BFD" w:rsidRDefault="00262BFD" w:rsidP="00262BFD">
      <w:r w:rsidRPr="00262BFD">
        <w:t>20. Case E — Winter visitor requesting appointment: Collect new-patient details, screen for clinician-defined urgent warning signs, check Mesa-area scheduling and eligibility, and offer an appropriate appointment or staff callback. Do not infer location from the phone area code.</w:t>
      </w:r>
    </w:p>
    <w:p w14:paraId="494D21A1" w14:textId="77777777" w:rsidR="00262BFD" w:rsidRDefault="00262BFD"/>
    <w:sectPr w:rsidR="00262B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BFD"/>
    <w:rsid w:val="00093DA5"/>
    <w:rsid w:val="00262BFD"/>
    <w:rsid w:val="003D46DC"/>
    <w:rsid w:val="00BC0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64695"/>
  <w15:chartTrackingRefBased/>
  <w15:docId w15:val="{7CE95DE8-1194-43AE-8CF6-00A3C5853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B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B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B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B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B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B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B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B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496</Words>
  <Characters>2829</Characters>
  <Application>Microsoft Office Word</Application>
  <DocSecurity>0</DocSecurity>
  <Lines>23</Lines>
  <Paragraphs>6</Paragraphs>
  <ScaleCrop>false</ScaleCrop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Harivaigundam Mani</dc:creator>
  <cp:keywords/>
  <dc:description/>
  <cp:lastModifiedBy>Harivaigundam Mani</cp:lastModifiedBy>
  <cp:revision>1</cp:revision>
  <dcterms:created xsi:type="dcterms:W3CDTF">2026-10-29T01:24:00Z</dcterms:created>
  <dcterms:modified xsi:type="dcterms:W3CDTF">2026-10-29T01:25:00Z</dcterms:modified>
</cp:coreProperties>
</file>