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BIOTECHNOLOGY RESEARCH REPORT</w:t>
      </w:r>
    </w:p>
    <w:p>
      <w:pPr>
        <w:jc w:val="center"/>
      </w:pPr>
      <w:r>
        <w:rPr>
          <w:b/>
          <w:sz w:val="26"/>
        </w:rPr>
        <w:t>mRNA Vaccines: Scientific Evidence, Public-Health Value, Limitations, and Future Directions</w:t>
      </w:r>
    </w:p>
    <w:p>
      <w:pPr>
        <w:jc w:val="center"/>
      </w:pPr>
      <w:r>
        <w:rPr>
          <w:i/>
        </w:rPr>
        <w:t>Prepared for: SWYNEX Biotechnology Internship | October 2026</w:t>
      </w:r>
    </w:p>
    <w:p>
      <w:pPr>
        <w:pStyle w:val="Heading1"/>
      </w:pPr>
      <w:r>
        <w:t>Executive Summary</w:t>
      </w:r>
    </w:p>
    <w:p>
      <w:r>
        <w:t>Messenger RNA (mRNA) vaccines are a biotechnology platform that delivers temporary genetic instructions to cells, allowing them to produce a target antigen and stimulate an immune response. COVID-19 vaccines demonstrated that the platform can be developed and deployed rapidly at large scale. This report reviews the underlying concept, summarizes key clinical evidence, evaluates benefits and limitations, and recommends priorities for future study. The central conclusion is that mRNA vaccines are a flexible platform with strong demonstrated value, but their performance depends on the pathogen, vaccine formulation, population, variant, time since vaccination, and outcome measured.</w:t>
      </w:r>
    </w:p>
    <w:p>
      <w:pPr>
        <w:pStyle w:val="Heading1"/>
      </w:pPr>
      <w:r>
        <w:t>1. Introduction and Scope</w:t>
      </w:r>
    </w:p>
    <w:p>
      <w:r>
        <w:t>Biotechnology applies biological systems and molecular processes to develop products that improve health. Vaccines are a major application because they train the immune system to recognize a pathogen or one of its components before a person encounters the actual infection. This report focuses on mRNA vaccines, using COVID-19 vaccine research as a case study. It is a literature-based analysis of published evidence and public-health implications; it does not describe laboratory procedures or provide medical advice for an individual.</w:t>
      </w:r>
    </w:p>
    <w:p>
      <w:pPr>
        <w:pStyle w:val="Heading1"/>
      </w:pPr>
      <w:r>
        <w:t>2. How mRNA Vaccines Work</w:t>
      </w:r>
    </w:p>
    <w:p>
      <w:r>
        <w:t>An mRNA vaccine contains messenger RNA instructions encoding an antigen. After administration, some cells take up the mRNA and use it temporarily to make the antigen. The immune system recognizes the antigen and can develop antibody and cellular responses. The mRNA is broken down by normal cellular processes; it does not need to enter the cell nucleus to function and does not alter a person's DNA. Lipid nanoparticles commonly help protect the mRNA and support delivery into cells.</w:t>
      </w:r>
    </w:p>
    <w:p>
      <w:r>
        <w:t>The platform is adaptable: researchers can change the encoded antigen sequence without rebuilding the entire production approach from the beginning. However, design, formulation, manufacturing quality, clinical evaluation, safety monitoring, and regulatory review remain essential.</w:t>
      </w:r>
    </w:p>
    <w:p>
      <w:pPr>
        <w:pStyle w:val="Heading1"/>
      </w:pPr>
      <w:r>
        <w:t>3. Review of Key Evidence</w:t>
      </w:r>
    </w:p>
    <w:p>
      <w:pPr>
        <w:pStyle w:val="Heading2"/>
      </w:pPr>
      <w:r>
        <w:t>3.1 Pivotal COVID-19 clinical-trial evidence</w:t>
      </w:r>
    </w:p>
    <w:p>
      <w:r>
        <w:t>In the pivotal randomized, placebo-controlled Phase 3 trial of the Pfizer–BioNTech BNT162b2 vaccine, 8 cases of COVID-19 occurred among participants assigned to the vaccine group and 162 among those assigned to placebo in the primary analysis after the relevant post-dose period. The reported efficacy against symptomatic COVID-19 was 95% (95% confidence interval 90.3%–97.6%). This was strong evidence of protection against symptomatic disease in the trial setting and study period. It should not be interpreted as 95% protection against every infection, every variant, or severe outcomes in every population.</w:t>
      </w:r>
    </w:p>
    <w:p>
      <w:pPr>
        <w:pStyle w:val="Heading2"/>
      </w:pPr>
      <w:r>
        <w:t>3.2 Real-world and continuing evidence</w:t>
      </w:r>
    </w:p>
    <w:p>
      <w:r>
        <w:t>Subsequent studies and public-health surveillance have supported the value of COVID-19 vaccination, particularly for reducing the risk of severe disease and death. Protection against infection can decline over time and can be affected by changes in the virus. This means vaccine effectiveness is not one fixed number: it varies by outcome, variant, age and risk group, dose history, and time since the most recent dose. Ongoing surveillance and updated formulations are therefore important.</w:t>
      </w:r>
    </w:p>
    <w:p>
      <w:pPr>
        <w:pStyle w:val="Heading2"/>
      </w:pPr>
      <w:r>
        <w:t>3.3 Safety monitoring</w:t>
      </w:r>
    </w:p>
    <w:p>
      <w:r>
        <w:t>Common short-term reactions can include injection-site pain, fatigue, headache, muscle aches, chills, or fever. Serious adverse events are uncommon, but rare risks have been identified, including myocarditis and pericarditis, particularly in some adolescent and young adult males after mRNA COVID-19 vaccination. Safety assessment therefore requires transparent reporting, large-scale post-authorization monitoring, and communication of benefits and risks for the relevant population. A safety signal is a reason to investigate; it does not by itself prove causation.</w:t>
      </w:r>
    </w:p>
    <w:p>
      <w:pPr>
        <w:pStyle w:val="Heading1"/>
      </w:pPr>
      <w:r>
        <w:t>4. Analysis: Benefits and Limitations</w:t>
      </w:r>
    </w:p>
    <w:tbl>
      <w:tblPr>
        <w:tblStyle w:val="LightShading-Accent1"/>
        <w:tblW w:type="auto" w:w="0"/>
        <w:tblLook w:firstColumn="1" w:firstRow="1" w:lastColumn="0" w:lastRow="0" w:noHBand="0" w:noVBand="1" w:val="04A0"/>
      </w:tblPr>
      <w:tblGrid>
        <w:gridCol w:w="4968"/>
        <w:gridCol w:w="4968"/>
      </w:tblGrid>
      <w:tr>
        <w:tc>
          <w:tcPr>
            <w:tcW w:type="dxa" w:w="4968"/>
          </w:tcPr>
          <w:p>
            <w:r>
              <w:t>Potential strengths</w:t>
            </w:r>
          </w:p>
        </w:tc>
        <w:tc>
          <w:tcPr>
            <w:tcW w:type="dxa" w:w="4968"/>
          </w:tcPr>
          <w:p>
            <w:r>
              <w:t>Limitations and challenges</w:t>
            </w:r>
          </w:p>
        </w:tc>
      </w:tr>
      <w:tr>
        <w:tc>
          <w:tcPr>
            <w:tcW w:type="dxa" w:w="4968"/>
          </w:tcPr>
          <w:p>
            <w:r>
              <w:t>Rapid design updates and a modular platform.</w:t>
            </w:r>
          </w:p>
        </w:tc>
        <w:tc>
          <w:tcPr>
            <w:tcW w:type="dxa" w:w="4968"/>
          </w:tcPr>
          <w:p>
            <w:r>
              <w:t>Immune protection can wane and pathogens can evolve.</w:t>
            </w:r>
          </w:p>
        </w:tc>
      </w:tr>
      <w:tr>
        <w:tc>
          <w:tcPr>
            <w:tcW w:type="dxa" w:w="4968"/>
          </w:tcPr>
          <w:p>
            <w:r>
              <w:t>Can stimulate antibody and cellular immune responses.</w:t>
            </w:r>
          </w:p>
        </w:tc>
        <w:tc>
          <w:tcPr>
            <w:tcW w:type="dxa" w:w="4968"/>
          </w:tcPr>
          <w:p>
            <w:r>
              <w:t>Cold-chain and distribution requirements may complicate access for some formulations.</w:t>
            </w:r>
          </w:p>
        </w:tc>
      </w:tr>
      <w:tr>
        <w:tc>
          <w:tcPr>
            <w:tcW w:type="dxa" w:w="4968"/>
          </w:tcPr>
          <w:p>
            <w:r>
              <w:t>Scalable manufacturing once processes are established.</w:t>
            </w:r>
          </w:p>
        </w:tc>
        <w:tc>
          <w:tcPr>
            <w:tcW w:type="dxa" w:w="4968"/>
          </w:tcPr>
          <w:p>
            <w:r>
              <w:t>Manufacturing consistency, quality control, and cost remain important.</w:t>
            </w:r>
          </w:p>
        </w:tc>
      </w:tr>
      <w:tr>
        <w:tc>
          <w:tcPr>
            <w:tcW w:type="dxa" w:w="4968"/>
          </w:tcPr>
          <w:p>
            <w:r>
              <w:t>Clinical evidence supports substantial benefit for COVID-19 outcomes in studied settings.</w:t>
            </w:r>
          </w:p>
        </w:tc>
        <w:tc>
          <w:tcPr>
            <w:tcW w:type="dxa" w:w="4968"/>
          </w:tcPr>
          <w:p>
            <w:r>
              <w:t>Trial estimates are population- and outcome-specific; they cannot be generalized without qualification.</w:t>
            </w:r>
          </w:p>
        </w:tc>
      </w:tr>
      <w:tr>
        <w:tc>
          <w:tcPr>
            <w:tcW w:type="dxa" w:w="4968"/>
          </w:tcPr>
          <w:p>
            <w:r>
              <w:t>Potential applications beyond COVID-19 are under study.</w:t>
            </w:r>
          </w:p>
        </w:tc>
        <w:tc>
          <w:tcPr>
            <w:tcW w:type="dxa" w:w="4968"/>
          </w:tcPr>
          <w:p>
            <w:r>
              <w:t>Each new disease target requires its own evidence for safety, efficacy, and practical value.</w:t>
            </w:r>
          </w:p>
        </w:tc>
      </w:tr>
    </w:tbl>
    <w:p>
      <w:pPr>
        <w:pStyle w:val="Heading1"/>
      </w:pPr>
      <w:r>
        <w:t>5. Public-Health and Ethical Considerations</w:t>
      </w:r>
    </w:p>
    <w:p>
      <w:r>
        <w:t>A vaccine platform has public-health value only when safe, effective products can reach the people who need them. Access depends on affordability, manufacturing capacity, distribution systems, trusted communication, and monitoring. Communication should distinguish what is known from what remains uncertain, explain absolute as well as relative risk where data permit, and avoid implying that a vaccine completely prevents all infection. Equity considerations include access in lower-resource settings and inclusion of diverse groups in clinical research.</w:t>
      </w:r>
    </w:p>
    <w:p>
      <w:pPr>
        <w:pStyle w:val="Heading1"/>
      </w:pPr>
      <w:r>
        <w:t>6. Recommendations for Further Study</w:t>
      </w:r>
    </w:p>
    <w:p>
      <w:pPr>
        <w:pStyle w:val="ListBullet"/>
      </w:pPr>
      <w:r>
        <w:t>Compare protection against symptomatic infection, hospitalization, and death separately, rather than reporting a single effectiveness figure.</w:t>
      </w:r>
    </w:p>
    <w:p>
      <w:pPr>
        <w:pStyle w:val="ListBullet"/>
      </w:pPr>
      <w:r>
        <w:t>Review evidence by age group, underlying risk, variant period, and time since vaccination.</w:t>
      </w:r>
    </w:p>
    <w:p>
      <w:pPr>
        <w:pStyle w:val="ListBullet"/>
      </w:pPr>
      <w:r>
        <w:t>Study strategies that may improve durability and breadth of immune responses while maintaining an acceptable safety profile.</w:t>
      </w:r>
    </w:p>
    <w:p>
      <w:pPr>
        <w:pStyle w:val="ListBullet"/>
      </w:pPr>
      <w:r>
        <w:t>Evaluate formulation stability, cold-chain needs, manufacturing scalability, cost, and environmental impact across the product life cycle.</w:t>
      </w:r>
    </w:p>
    <w:p>
      <w:pPr>
        <w:pStyle w:val="ListBullet"/>
      </w:pPr>
      <w:r>
        <w:t>Strengthen transparent pharmacovigilance and clear communication about rare adverse events and the balance of benefits and risks.</w:t>
      </w:r>
    </w:p>
    <w:p>
      <w:pPr>
        <w:pStyle w:val="ListBullet"/>
      </w:pPr>
      <w:r>
        <w:t>Investigate mRNA applications for other infectious diseases and therapeutic areas, while requiring disease-specific clinical evidence before claims of benefit.</w:t>
      </w:r>
    </w:p>
    <w:p>
      <w:pPr>
        <w:pStyle w:val="Heading1"/>
      </w:pPr>
      <w:r>
        <w:t>7. Conclusion</w:t>
      </w:r>
    </w:p>
    <w:p>
      <w:r>
        <w:t>mRNA vaccines illustrate how molecular biology, formulation science, clinical research, and public-health systems can work together. The COVID-19 experience provides strong evidence that the platform can deliver substantial protection against important disease outcomes, while also showing why effectiveness must be interpreted in context and safety must be monitored continuously. Future progress will depend not only on new vaccine designs, but also on robust evidence, equitable access, reliable manufacturing, and honest public communication.</w:t>
      </w:r>
    </w:p>
    <w:p>
      <w:pPr>
        <w:pStyle w:val="Heading1"/>
      </w:pPr>
      <w:r>
        <w:t>References</w:t>
      </w:r>
    </w:p>
    <w:p>
      <w:pPr>
        <w:pStyle w:val="ListNumber"/>
      </w:pPr>
      <w:r>
        <w:t>Polack, F. P., et al. (2020). Safety and Efficacy of the BNT162b2 mRNA Covid-19 Vaccine. The New England Journal of Medicine, 383, 2603–2615. https://doi.org/10.1056/NEJMoa2034577</w:t>
      </w:r>
    </w:p>
    <w:p>
      <w:pPr>
        <w:pStyle w:val="ListNumber"/>
      </w:pPr>
      <w:r>
        <w:t>U.S. Food and Drug Administration (FDA). Comirnaty (COVID-19 Vaccine, mRNA): product information and prescribing information. https://www.fda.gov/vaccines-blood-biologics/comirnaty</w:t>
      </w:r>
    </w:p>
    <w:p>
      <w:pPr>
        <w:pStyle w:val="ListNumber"/>
      </w:pPr>
      <w:r>
        <w:t>Centers for Disease Control and Prevention (CDC). COVID-19 Vaccine Safety. https://www.cdc.gov/covid/vaccines/safety/</w:t>
      </w:r>
    </w:p>
    <w:p>
      <w:pPr>
        <w:pStyle w:val="ListNumber"/>
      </w:pPr>
      <w:r>
        <w:t>World Health Organization (WHO). Coronavirus disease (COVID-19): Vaccines and vaccine safety information. https://www.who.int/health-topics/coronavirus</w:t>
      </w:r>
    </w:p>
    <w:p>
      <w:pPr>
        <w:pStyle w:val="ListNumber"/>
      </w:pPr>
      <w:r>
        <w:t>National Institute of Allergy and Infectious Diseases (NIAID). mRNA Vaccines. https://www.niaid.nih.gov/research/mrna-vaccines</w:t>
      </w:r>
    </w:p>
    <w:p>
      <w:r>
        <w:t>Note: This report is an educational literature synthesis. Readers should consult current guidance from their national public-health authority and healthcare professional for individual vaccination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