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  <w:bookmarkStart w:id="0" w:name="_GoBack"/>
      <w:bookmarkEnd w:id="0"/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  <w:r w:rsidRPr="00987347">
        <w:rPr>
          <w:rFonts w:asciiTheme="minorHAnsi" w:eastAsia="Verdana" w:hAnsiTheme="minorHAnsi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987347" w:rsidRDefault="00987347" w:rsidP="00987347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  <w:r w:rsidRPr="00987347">
        <w:rPr>
          <w:rFonts w:asciiTheme="minorHAnsi" w:hAnsiTheme="minorHAnsi"/>
          <w:sz w:val="48"/>
          <w:u w:val="single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A97430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A97430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A97430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A97430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A97430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A97430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A97430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  <w:r w:rsidR="00670106" w:rsidRPr="003225B7">
        <w:rPr>
          <w:rFonts w:asciiTheme="minorHAnsi" w:hAnsiTheme="minorHAnsi"/>
          <w:color w:val="auto"/>
          <w:sz w:val="22"/>
        </w:rPr>
        <w:t xml:space="preserve"> </w:t>
      </w:r>
    </w:p>
    <w:p w:rsidR="00670106" w:rsidRPr="003225B7" w:rsidRDefault="00A97430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A97430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A97430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A97430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A97430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A97430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6in1rg"/>
    </w:p>
    <w:p w:rsidR="00670106" w:rsidRPr="003225B7" w:rsidRDefault="00A97430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3225B7" w:rsidRDefault="00A97430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  <w:u w:val="single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A9743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A97430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A9743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A9743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A9743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A9743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A97430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A97430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A97430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r w:rsidR="00670106" w:rsidRPr="003225B7">
        <w:rPr>
          <w:rFonts w:asciiTheme="minorHAnsi" w:hAnsiTheme="minorHAnsi"/>
          <w:sz w:val="22"/>
        </w:rPr>
        <w:t xml:space="preserve"> </w:t>
      </w: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Gestión y entrega de Release de Software</w:t>
        </w:r>
      </w:hyperlink>
    </w:p>
    <w:p w:rsidR="00670106" w:rsidRPr="00987347" w:rsidRDefault="00A97430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1" w:name="h.gjdgxs" w:colFirst="0" w:colLast="0"/>
      <w:bookmarkEnd w:id="1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2" w:name="h.30j0zll" w:colFirst="0" w:colLast="0"/>
      <w:bookmarkEnd w:id="2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3" w:name="h.1fob9te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4" w:name="h.3znysh7" w:colFirst="0" w:colLast="0"/>
      <w:bookmarkEnd w:id="4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5" w:name="h.2et92p0" w:colFirst="0" w:colLast="0"/>
      <w:bookmarkEnd w:id="5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>demás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7504EA" w:rsidRPr="00987347">
        <w:rPr>
          <w:rFonts w:asciiTheme="minorHAnsi" w:hAnsiTheme="minorHAnsi"/>
          <w:sz w:val="24"/>
          <w:szCs w:val="24"/>
        </w:rPr>
        <w:t xml:space="preserve">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 xml:space="preserve">Construcción de </w:t>
      </w:r>
      <w:proofErr w:type="spellStart"/>
      <w:r w:rsidRPr="00987347">
        <w:rPr>
          <w:rFonts w:asciiTheme="minorHAnsi" w:hAnsiTheme="minorHAnsi"/>
          <w:sz w:val="24"/>
          <w:szCs w:val="24"/>
        </w:rPr>
        <w:t>releases</w:t>
      </w:r>
      <w:proofErr w:type="spellEnd"/>
      <w:r w:rsidRPr="00987347">
        <w:rPr>
          <w:rFonts w:asciiTheme="minorHAnsi" w:hAnsiTheme="minorHAnsi"/>
          <w:sz w:val="24"/>
          <w:szCs w:val="24"/>
        </w:rPr>
        <w:t xml:space="preserve">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AE3606">
      <w:pPr>
        <w:numPr>
          <w:ilvl w:val="1"/>
          <w:numId w:val="2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6" w:name="h.tyjcwt" w:colFirst="0" w:colLast="0"/>
      <w:bookmarkEnd w:id="6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987347" w:rsidTr="00AB49C1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>l Plan</w:t>
      </w:r>
      <w:r w:rsidRPr="00987347">
        <w:rPr>
          <w:rFonts w:asciiTheme="minorHAnsi" w:hAnsiTheme="minorHAnsi"/>
          <w:sz w:val="24"/>
          <w:szCs w:val="24"/>
        </w:rPr>
        <w:t xml:space="preserve"> </w:t>
      </w:r>
      <w:r w:rsidR="00291543" w:rsidRPr="00987347">
        <w:rPr>
          <w:rFonts w:asciiTheme="minorHAnsi" w:hAnsiTheme="minorHAnsi"/>
          <w:sz w:val="24"/>
          <w:szCs w:val="24"/>
        </w:rPr>
        <w:t xml:space="preserve">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C56174">
      <w:pPr>
        <w:numPr>
          <w:ilvl w:val="0"/>
          <w:numId w:val="2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C56174" w:rsidRPr="00DE334E" w:rsidRDefault="00670106" w:rsidP="00B326CE">
      <w:pPr>
        <w:numPr>
          <w:ilvl w:val="1"/>
          <w:numId w:val="2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7" w:name="h.4d34og8" w:colFirst="0" w:colLast="0"/>
      <w:bookmarkEnd w:id="7"/>
    </w:p>
    <w:p w:rsidR="00291543" w:rsidRPr="00987347" w:rsidRDefault="00291543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836B49" w:rsidRPr="00987347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836B49" w:rsidRPr="00987347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 xml:space="preserve">Responsabilidades de SCM </w:t>
      </w:r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Alexander Huaman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er Huaman,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Díaz, Alexander Huaman,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7504EA" w:rsidRPr="00987347" w:rsidRDefault="007504EA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Gestión y Entrega de Releases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Políticas, Directrices y procedimientos</w:t>
      </w:r>
      <w:bookmarkStart w:id="8" w:name="h.17dp8vu" w:colFirst="0" w:colLast="0"/>
      <w:bookmarkEnd w:id="8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9" w:name="h.3rdcrjn" w:colFirst="0" w:colLast="0"/>
      <w:bookmarkEnd w:id="9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B326CE">
      <w:pPr>
        <w:numPr>
          <w:ilvl w:val="1"/>
          <w:numId w:val="2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Calendario o cronograma</w:t>
      </w: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</w:rPr>
        <w:lastRenderedPageBreak/>
        <w:drawing>
          <wp:inline distT="0" distB="0" distL="0" distR="0" wp14:anchorId="1AFA4DEA" wp14:editId="0F8BB971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0B1871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 w:val="22"/>
          <w:szCs w:val="24"/>
        </w:rPr>
      </w:pPr>
      <w:bookmarkStart w:id="10" w:name="h.26in1rg" w:colFirst="0" w:colLast="0"/>
      <w:bookmarkEnd w:id="10"/>
      <w:r w:rsidRPr="000B1871">
        <w:rPr>
          <w:rFonts w:asciiTheme="minorHAnsi" w:eastAsia="Verdana" w:hAnsiTheme="minorHAnsi"/>
          <w:i/>
          <w:sz w:val="22"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987347" w:rsidRDefault="00670106" w:rsidP="00670106">
      <w:pPr>
        <w:numPr>
          <w:ilvl w:val="0"/>
          <w:numId w:val="2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1" w:name="h.lnxbz9" w:colFirst="0" w:colLast="0"/>
      <w:bookmarkEnd w:id="11"/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Identificación de la configuración</w:t>
      </w:r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i/>
          <w:sz w:val="22"/>
          <w:szCs w:val="24"/>
          <w:u w:val="single"/>
        </w:rPr>
      </w:pPr>
      <w:bookmarkStart w:id="12" w:name="h.35nkun2" w:colFirst="0" w:colLast="0"/>
      <w:bookmarkEnd w:id="12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Identificación de los ítems de configuración</w:t>
      </w:r>
      <w:bookmarkStart w:id="13" w:name="h.1ksv4uv" w:colFirst="0" w:colLast="0"/>
      <w:bookmarkEnd w:id="13"/>
    </w:p>
    <w:p w:rsidR="00B326CE" w:rsidRPr="003C1916" w:rsidRDefault="00B326CE" w:rsidP="00B326CE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3C1916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Nomenclatura de los </w:t>
      </w:r>
      <w:r w:rsidR="00B326CE" w:rsidRPr="003C1916">
        <w:rPr>
          <w:rFonts w:asciiTheme="minorHAnsi" w:eastAsia="Verdana" w:hAnsiTheme="minorHAnsi"/>
          <w:i/>
          <w:sz w:val="22"/>
          <w:szCs w:val="24"/>
          <w:u w:val="single"/>
        </w:rPr>
        <w:t>ítems</w:t>
      </w: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 de configuración</w:t>
      </w:r>
      <w:bookmarkStart w:id="14" w:name="h.44sinio" w:colFirst="0" w:colLast="0"/>
      <w:bookmarkEnd w:id="14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2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5" w:name="h.2jxsxqh" w:colFirst="0" w:colLast="0"/>
      <w:bookmarkEnd w:id="15"/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bookmarkStart w:id="16" w:name="h.1y810tw" w:colFirst="0" w:colLast="0"/>
      <w:bookmarkEnd w:id="16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7" w:name="h.4i7ojhp" w:colFirst="0" w:colLast="0"/>
      <w:bookmarkEnd w:id="17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18" w:name="h.2xcytpi" w:colFirst="0" w:colLast="0"/>
      <w:bookmarkEnd w:id="18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19" w:name="h.1ci93xb" w:colFirst="0" w:colLast="0"/>
      <w:bookmarkEnd w:id="19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Gestión y Entrega de Releases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430" w:rsidRDefault="00A97430" w:rsidP="00670106">
      <w:r>
        <w:separator/>
      </w:r>
    </w:p>
  </w:endnote>
  <w:endnote w:type="continuationSeparator" w:id="0">
    <w:p w:rsidR="00A97430" w:rsidRDefault="00A97430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F8A" w:rsidRPr="00670106" w:rsidRDefault="00F67F8A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0C9B8" wp14:editId="4087568F">
              <wp:simplePos x="0" y="0"/>
              <wp:positionH relativeFrom="column">
                <wp:posOffset>13335</wp:posOffset>
              </wp:positionH>
              <wp:positionV relativeFrom="paragraph">
                <wp:posOffset>-30480</wp:posOffset>
              </wp:positionV>
              <wp:extent cx="6038850" cy="1"/>
              <wp:effectExtent l="0" t="0" r="19050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1368D5" id="13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    </w:pict>
        </mc:Fallback>
      </mc:AlternateContent>
    </w:r>
    <w:r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0B1871">
      <w:rPr>
        <w:noProof/>
      </w:rPr>
      <w:t>1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0B187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430" w:rsidRDefault="00A97430" w:rsidP="00670106">
      <w:r>
        <w:separator/>
      </w:r>
    </w:p>
  </w:footnote>
  <w:footnote w:type="continuationSeparator" w:id="0">
    <w:p w:rsidR="00A97430" w:rsidRDefault="00A97430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1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5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9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0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3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6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7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0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1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2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3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4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7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2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3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35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6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26"/>
  </w:num>
  <w:num w:numId="2">
    <w:abstractNumId w:val="15"/>
  </w:num>
  <w:num w:numId="3">
    <w:abstractNumId w:val="4"/>
  </w:num>
  <w:num w:numId="4">
    <w:abstractNumId w:val="12"/>
  </w:num>
  <w:num w:numId="5">
    <w:abstractNumId w:val="22"/>
  </w:num>
  <w:num w:numId="6">
    <w:abstractNumId w:val="34"/>
  </w:num>
  <w:num w:numId="7">
    <w:abstractNumId w:val="9"/>
  </w:num>
  <w:num w:numId="8">
    <w:abstractNumId w:val="32"/>
  </w:num>
  <w:num w:numId="9">
    <w:abstractNumId w:val="29"/>
  </w:num>
  <w:num w:numId="10">
    <w:abstractNumId w:val="20"/>
  </w:num>
  <w:num w:numId="11">
    <w:abstractNumId w:val="19"/>
  </w:num>
  <w:num w:numId="12">
    <w:abstractNumId w:val="27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8"/>
  </w:num>
  <w:num w:numId="16">
    <w:abstractNumId w:val="3"/>
  </w:num>
  <w:num w:numId="17">
    <w:abstractNumId w:val="11"/>
  </w:num>
  <w:num w:numId="18">
    <w:abstractNumId w:val="23"/>
  </w:num>
  <w:num w:numId="19">
    <w:abstractNumId w:val="28"/>
  </w:num>
  <w:num w:numId="20">
    <w:abstractNumId w:val="6"/>
  </w:num>
  <w:num w:numId="21">
    <w:abstractNumId w:val="35"/>
  </w:num>
  <w:num w:numId="22">
    <w:abstractNumId w:val="21"/>
  </w:num>
  <w:num w:numId="23">
    <w:abstractNumId w:val="10"/>
  </w:num>
  <w:num w:numId="24">
    <w:abstractNumId w:val="24"/>
  </w:num>
  <w:num w:numId="25">
    <w:abstractNumId w:val="33"/>
  </w:num>
  <w:num w:numId="26">
    <w:abstractNumId w:val="0"/>
  </w:num>
  <w:num w:numId="27">
    <w:abstractNumId w:val="14"/>
  </w:num>
  <w:num w:numId="28">
    <w:abstractNumId w:val="31"/>
  </w:num>
  <w:num w:numId="29">
    <w:abstractNumId w:val="37"/>
  </w:num>
  <w:num w:numId="30">
    <w:abstractNumId w:val="5"/>
  </w:num>
  <w:num w:numId="31">
    <w:abstractNumId w:val="16"/>
  </w:num>
  <w:num w:numId="32">
    <w:abstractNumId w:val="1"/>
  </w:num>
  <w:num w:numId="33">
    <w:abstractNumId w:val="8"/>
  </w:num>
  <w:num w:numId="34">
    <w:abstractNumId w:val="13"/>
  </w:num>
  <w:num w:numId="35">
    <w:abstractNumId w:val="7"/>
  </w:num>
  <w:num w:numId="36">
    <w:abstractNumId w:val="36"/>
  </w:num>
  <w:num w:numId="37">
    <w:abstractNumId w:val="2"/>
  </w:num>
  <w:num w:numId="38">
    <w:abstractNumId w:val="2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2C"/>
    <w:rsid w:val="000165FE"/>
    <w:rsid w:val="000278EB"/>
    <w:rsid w:val="000B1871"/>
    <w:rsid w:val="001A18AB"/>
    <w:rsid w:val="0027134C"/>
    <w:rsid w:val="00286C07"/>
    <w:rsid w:val="00291543"/>
    <w:rsid w:val="003225B7"/>
    <w:rsid w:val="003C1916"/>
    <w:rsid w:val="005F15ED"/>
    <w:rsid w:val="00670106"/>
    <w:rsid w:val="00733F0D"/>
    <w:rsid w:val="007504EA"/>
    <w:rsid w:val="00834722"/>
    <w:rsid w:val="00836B49"/>
    <w:rsid w:val="008E1045"/>
    <w:rsid w:val="00987347"/>
    <w:rsid w:val="009B2C12"/>
    <w:rsid w:val="00A9602C"/>
    <w:rsid w:val="00A97430"/>
    <w:rsid w:val="00AE3606"/>
    <w:rsid w:val="00B326CE"/>
    <w:rsid w:val="00BA2DB3"/>
    <w:rsid w:val="00C56174"/>
    <w:rsid w:val="00DE334E"/>
    <w:rsid w:val="00EA2B5F"/>
    <w:rsid w:val="00F67F8A"/>
    <w:rsid w:val="00FE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F5995-87A3-46F2-AEE3-7E728D0A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Puesto">
    <w:name w:val="Title"/>
    <w:basedOn w:val="Normal"/>
    <w:next w:val="Normal"/>
    <w:link w:val="Puest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PuestoCar">
    <w:name w:val="Puesto Car"/>
    <w:basedOn w:val="Fuentedeprrafopredeter"/>
    <w:link w:val="Puest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1231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Juaneko</cp:lastModifiedBy>
  <cp:revision>14</cp:revision>
  <dcterms:created xsi:type="dcterms:W3CDTF">2014-04-15T02:56:00Z</dcterms:created>
  <dcterms:modified xsi:type="dcterms:W3CDTF">2014-04-16T10:35:00Z</dcterms:modified>
</cp:coreProperties>
</file>