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C2F" w:rsidRPr="00E17EB9" w:rsidRDefault="00081880" w:rsidP="00E17EB9">
      <w:pPr>
        <w:jc w:val="center"/>
        <w:rPr>
          <w:b/>
          <w:sz w:val="24"/>
        </w:rPr>
      </w:pPr>
      <w:r w:rsidRPr="00E17EB9">
        <w:rPr>
          <w:b/>
          <w:sz w:val="24"/>
        </w:rPr>
        <w:t>Solicitudes de Cambio</w:t>
      </w:r>
    </w:p>
    <w:tbl>
      <w:tblPr>
        <w:tblStyle w:val="Tablaconcuadrcula"/>
        <w:tblW w:w="0" w:type="auto"/>
        <w:tblLook w:val="04A0" w:firstRow="1" w:lastRow="0" w:firstColumn="1" w:lastColumn="0" w:noHBand="0" w:noVBand="1"/>
      </w:tblPr>
      <w:tblGrid>
        <w:gridCol w:w="1838"/>
        <w:gridCol w:w="6656"/>
      </w:tblGrid>
      <w:tr w:rsidR="00C97843" w:rsidTr="00E17EB9">
        <w:tc>
          <w:tcPr>
            <w:tcW w:w="1838" w:type="dxa"/>
            <w:shd w:val="clear" w:color="auto" w:fill="4472C4" w:themeFill="accent5"/>
          </w:tcPr>
          <w:p w:rsidR="00C97843" w:rsidRPr="00814098" w:rsidRDefault="00C97843" w:rsidP="00E17EB9">
            <w:pPr>
              <w:jc w:val="both"/>
              <w:rPr>
                <w:b/>
                <w:color w:val="FFFFFF" w:themeColor="background1"/>
              </w:rPr>
            </w:pPr>
            <w:r w:rsidRPr="00814098">
              <w:rPr>
                <w:b/>
                <w:color w:val="FFFFFF" w:themeColor="background1"/>
              </w:rPr>
              <w:t>ID</w:t>
            </w:r>
          </w:p>
        </w:tc>
        <w:tc>
          <w:tcPr>
            <w:tcW w:w="6656" w:type="dxa"/>
            <w:shd w:val="clear" w:color="auto" w:fill="4472C4" w:themeFill="accent5"/>
          </w:tcPr>
          <w:p w:rsidR="00C97843" w:rsidRPr="00814098" w:rsidRDefault="00C97843" w:rsidP="00F05CBF">
            <w:pPr>
              <w:jc w:val="both"/>
              <w:rPr>
                <w:b/>
                <w:color w:val="FFFFFF" w:themeColor="background1"/>
              </w:rPr>
            </w:pPr>
            <w:r w:rsidRPr="00814098">
              <w:rPr>
                <w:b/>
                <w:color w:val="FFFFFF" w:themeColor="background1"/>
              </w:rPr>
              <w:t>0</w:t>
            </w:r>
            <w:r w:rsidR="00F05CBF">
              <w:rPr>
                <w:b/>
                <w:color w:val="FFFFFF" w:themeColor="background1"/>
              </w:rPr>
              <w:t>6</w:t>
            </w:r>
            <w:r w:rsidRPr="00814098">
              <w:rPr>
                <w:b/>
                <w:color w:val="FFFFFF" w:themeColor="background1"/>
              </w:rPr>
              <w:t xml:space="preserve"> – Cambio del Formato de Fecha</w:t>
            </w:r>
          </w:p>
        </w:tc>
      </w:tr>
      <w:tr w:rsidR="00C97843" w:rsidTr="00E17EB9">
        <w:tc>
          <w:tcPr>
            <w:tcW w:w="1838" w:type="dxa"/>
            <w:shd w:val="clear" w:color="auto" w:fill="9CC2E5" w:themeFill="accent1" w:themeFillTint="99"/>
          </w:tcPr>
          <w:p w:rsidR="00C97843" w:rsidRPr="00C97843" w:rsidRDefault="00C97843" w:rsidP="00E17EB9">
            <w:pPr>
              <w:jc w:val="both"/>
              <w:rPr>
                <w:b/>
              </w:rPr>
            </w:pPr>
            <w:r w:rsidRPr="00C97843">
              <w:rPr>
                <w:b/>
              </w:rPr>
              <w:t>Proyecto</w:t>
            </w:r>
          </w:p>
        </w:tc>
        <w:tc>
          <w:tcPr>
            <w:tcW w:w="6656" w:type="dxa"/>
            <w:shd w:val="clear" w:color="auto" w:fill="9CC2E5" w:themeFill="accent1" w:themeFillTint="99"/>
          </w:tcPr>
          <w:p w:rsidR="00C97843" w:rsidRDefault="00C97843" w:rsidP="00E17EB9">
            <w:pPr>
              <w:jc w:val="both"/>
            </w:pPr>
            <w:r>
              <w:t>Sistema de Reserva de Operaciones</w:t>
            </w:r>
          </w:p>
        </w:tc>
      </w:tr>
      <w:tr w:rsidR="00C97843" w:rsidTr="00E17EB9">
        <w:tc>
          <w:tcPr>
            <w:tcW w:w="1838" w:type="dxa"/>
          </w:tcPr>
          <w:p w:rsidR="00C97843" w:rsidRPr="00C97843" w:rsidRDefault="00C97843" w:rsidP="00E17EB9">
            <w:pPr>
              <w:jc w:val="both"/>
              <w:rPr>
                <w:b/>
              </w:rPr>
            </w:pPr>
            <w:r>
              <w:rPr>
                <w:b/>
              </w:rPr>
              <w:t>Fecha</w:t>
            </w:r>
          </w:p>
        </w:tc>
        <w:tc>
          <w:tcPr>
            <w:tcW w:w="6656" w:type="dxa"/>
          </w:tcPr>
          <w:p w:rsidR="00C97843" w:rsidRDefault="00C97843" w:rsidP="00F05CBF">
            <w:pPr>
              <w:jc w:val="both"/>
            </w:pPr>
            <w:r>
              <w:t>2</w:t>
            </w:r>
            <w:r w:rsidR="00F05CBF">
              <w:t>6</w:t>
            </w:r>
            <w:r>
              <w:t>/04/2014</w:t>
            </w:r>
          </w:p>
        </w:tc>
      </w:tr>
      <w:tr w:rsidR="00C97843" w:rsidTr="00E17EB9">
        <w:tc>
          <w:tcPr>
            <w:tcW w:w="1838" w:type="dxa"/>
            <w:shd w:val="clear" w:color="auto" w:fill="9CC2E5" w:themeFill="accent1" w:themeFillTint="99"/>
          </w:tcPr>
          <w:p w:rsidR="00C97843" w:rsidRPr="00C97843" w:rsidRDefault="00C97843" w:rsidP="00E17EB9">
            <w:pPr>
              <w:jc w:val="both"/>
              <w:rPr>
                <w:b/>
              </w:rPr>
            </w:pPr>
            <w:r>
              <w:rPr>
                <w:b/>
              </w:rPr>
              <w:t>Fuente</w:t>
            </w:r>
            <w:r w:rsidR="000D297A">
              <w:rPr>
                <w:b/>
              </w:rPr>
              <w:t>s</w:t>
            </w:r>
          </w:p>
        </w:tc>
        <w:tc>
          <w:tcPr>
            <w:tcW w:w="6656" w:type="dxa"/>
            <w:shd w:val="clear" w:color="auto" w:fill="9CC2E5" w:themeFill="accent1" w:themeFillTint="99"/>
          </w:tcPr>
          <w:p w:rsidR="00C97843" w:rsidRDefault="00C97843" w:rsidP="00E17EB9">
            <w:pPr>
              <w:jc w:val="both"/>
            </w:pPr>
            <w:r>
              <w:t>Juan I. Guerrero Rodríguez</w:t>
            </w:r>
          </w:p>
        </w:tc>
      </w:tr>
      <w:tr w:rsidR="00C97843" w:rsidTr="00E17EB9">
        <w:tc>
          <w:tcPr>
            <w:tcW w:w="1838" w:type="dxa"/>
          </w:tcPr>
          <w:p w:rsidR="00C97843" w:rsidRPr="00C97843" w:rsidRDefault="00C97843" w:rsidP="00E17EB9">
            <w:pPr>
              <w:jc w:val="both"/>
              <w:rPr>
                <w:b/>
              </w:rPr>
            </w:pPr>
            <w:r>
              <w:rPr>
                <w:b/>
              </w:rPr>
              <w:t>Autores</w:t>
            </w:r>
          </w:p>
        </w:tc>
        <w:tc>
          <w:tcPr>
            <w:tcW w:w="6656" w:type="dxa"/>
          </w:tcPr>
          <w:p w:rsidR="00C97843" w:rsidRDefault="00C97843" w:rsidP="00E17EB9">
            <w:pPr>
              <w:jc w:val="both"/>
            </w:pPr>
            <w:r>
              <w:t xml:space="preserve">Cesar Zegarra </w:t>
            </w:r>
            <w:r w:rsidR="000D297A">
              <w:t>Medina</w:t>
            </w:r>
          </w:p>
        </w:tc>
      </w:tr>
      <w:tr w:rsidR="00C97843" w:rsidTr="00E17EB9">
        <w:tc>
          <w:tcPr>
            <w:tcW w:w="1838" w:type="dxa"/>
            <w:shd w:val="clear" w:color="auto" w:fill="9CC2E5" w:themeFill="accent1" w:themeFillTint="99"/>
          </w:tcPr>
          <w:p w:rsidR="00C97843" w:rsidRPr="00C97843" w:rsidRDefault="00C97843" w:rsidP="00E17EB9">
            <w:pPr>
              <w:jc w:val="both"/>
              <w:rPr>
                <w:b/>
              </w:rPr>
            </w:pPr>
            <w:r>
              <w:rPr>
                <w:b/>
              </w:rPr>
              <w:t>Descripción</w:t>
            </w:r>
          </w:p>
        </w:tc>
        <w:tc>
          <w:tcPr>
            <w:tcW w:w="6656" w:type="dxa"/>
            <w:shd w:val="clear" w:color="auto" w:fill="9CC2E5" w:themeFill="accent1" w:themeFillTint="99"/>
          </w:tcPr>
          <w:p w:rsidR="000D297A" w:rsidRDefault="000D297A" w:rsidP="00DE3093">
            <w:pPr>
              <w:jc w:val="both"/>
            </w:pPr>
            <w:r>
              <w:t>Debido a que se está utilizando el formato de fecha igual al que está en la base de datos (</w:t>
            </w:r>
            <w:proofErr w:type="spellStart"/>
            <w:r>
              <w:t>aaaa</w:t>
            </w:r>
            <w:proofErr w:type="spellEnd"/>
            <w:r>
              <w:t>-MM-</w:t>
            </w:r>
            <w:proofErr w:type="spellStart"/>
            <w:r>
              <w:t>dd</w:t>
            </w:r>
            <w:proofErr w:type="spellEnd"/>
            <w:r>
              <w:t>), genera confusión al momento de leerla</w:t>
            </w:r>
            <w:r w:rsidR="00C85288">
              <w:t xml:space="preserve"> por parte del cliente e incluso a los médicos</w:t>
            </w:r>
            <w:r>
              <w:t>.</w:t>
            </w:r>
          </w:p>
          <w:p w:rsidR="000D297A" w:rsidRDefault="00DE3093" w:rsidP="00E17EB9">
            <w:pPr>
              <w:spacing w:before="240"/>
              <w:jc w:val="both"/>
            </w:pPr>
            <w:r>
              <w:t>Del formato anterior se recomienda utilizar los siguientes</w:t>
            </w:r>
            <w:r w:rsidR="00C85288">
              <w:t>:</w:t>
            </w:r>
          </w:p>
          <w:p w:rsidR="00C85288" w:rsidRDefault="00C85288" w:rsidP="00E17EB9">
            <w:pPr>
              <w:spacing w:before="240"/>
              <w:jc w:val="both"/>
            </w:pPr>
            <w:r>
              <w:t xml:space="preserve">Fecha corta: </w:t>
            </w:r>
            <w:proofErr w:type="spellStart"/>
            <w:r>
              <w:t>dd</w:t>
            </w:r>
            <w:proofErr w:type="spellEnd"/>
            <w:r>
              <w:t>/MM</w:t>
            </w:r>
          </w:p>
          <w:p w:rsidR="000D297A" w:rsidRDefault="00C85288" w:rsidP="00E17EB9">
            <w:pPr>
              <w:jc w:val="both"/>
            </w:pPr>
            <w:r>
              <w:t xml:space="preserve">Fecha media: </w:t>
            </w:r>
            <w:proofErr w:type="spellStart"/>
            <w:r>
              <w:t>dd</w:t>
            </w:r>
            <w:proofErr w:type="spellEnd"/>
            <w:r w:rsidR="004F0F4D">
              <w:t xml:space="preserve"> – </w:t>
            </w:r>
            <w:r w:rsidR="00814098">
              <w:t>EEE</w:t>
            </w:r>
            <w:r w:rsidR="004F0F4D">
              <w:t xml:space="preserve"> - </w:t>
            </w:r>
            <w:proofErr w:type="spellStart"/>
            <w:r w:rsidR="004F0F4D">
              <w:t>aaaa</w:t>
            </w:r>
            <w:proofErr w:type="spellEnd"/>
          </w:p>
          <w:p w:rsidR="000D297A" w:rsidRDefault="00C85288" w:rsidP="00E17EB9">
            <w:pPr>
              <w:jc w:val="both"/>
            </w:pPr>
            <w:r>
              <w:t xml:space="preserve">Fecha larga: </w:t>
            </w:r>
            <w:proofErr w:type="spellStart"/>
            <w:r>
              <w:t>dd</w:t>
            </w:r>
            <w:proofErr w:type="spellEnd"/>
            <w:r>
              <w:t xml:space="preserve"> de EEEEE del </w:t>
            </w:r>
            <w:proofErr w:type="spellStart"/>
            <w:r>
              <w:t>aaaa</w:t>
            </w:r>
            <w:proofErr w:type="spellEnd"/>
          </w:p>
        </w:tc>
      </w:tr>
      <w:tr w:rsidR="00C97843" w:rsidTr="00E17EB9">
        <w:tc>
          <w:tcPr>
            <w:tcW w:w="1838" w:type="dxa"/>
          </w:tcPr>
          <w:p w:rsidR="00C97843" w:rsidRPr="00C97843" w:rsidRDefault="00C97843" w:rsidP="00E17EB9">
            <w:pPr>
              <w:jc w:val="both"/>
              <w:rPr>
                <w:b/>
              </w:rPr>
            </w:pPr>
            <w:r>
              <w:rPr>
                <w:b/>
              </w:rPr>
              <w:t>Justificación</w:t>
            </w:r>
          </w:p>
        </w:tc>
        <w:tc>
          <w:tcPr>
            <w:tcW w:w="6656" w:type="dxa"/>
          </w:tcPr>
          <w:p w:rsidR="00C97843" w:rsidRDefault="00814098" w:rsidP="00E17EB9">
            <w:pPr>
              <w:jc w:val="both"/>
            </w:pPr>
            <w:r>
              <w:t>El cambio solicitado se considera necesario:</w:t>
            </w:r>
          </w:p>
          <w:p w:rsidR="00814098" w:rsidRDefault="00814098" w:rsidP="004F0F4D">
            <w:pPr>
              <w:spacing w:before="240"/>
              <w:jc w:val="both"/>
            </w:pPr>
            <w:r>
              <w:t>Dado que en las clínicas y hospitales se programan diversos procesos quirúrgicos, el año que este se realice podría ser irrelevante</w:t>
            </w:r>
            <w:r w:rsidR="00E17EB9">
              <w:t xml:space="preserve"> ya que solo se necesita el día y el mes en el que se va a realizar el proceso quirúrgico, </w:t>
            </w:r>
            <w:r w:rsidR="004F0F4D">
              <w:t>si se necesitase especificar el año, se utilizaría la fecha media y en casos excepcionales la fecha larga.</w:t>
            </w:r>
          </w:p>
        </w:tc>
      </w:tr>
    </w:tbl>
    <w:p w:rsidR="00081880" w:rsidRDefault="00081880"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t>ID</w:t>
            </w:r>
          </w:p>
        </w:tc>
        <w:tc>
          <w:tcPr>
            <w:tcW w:w="6656" w:type="dxa"/>
            <w:shd w:val="clear" w:color="auto" w:fill="4472C4" w:themeFill="accent5"/>
          </w:tcPr>
          <w:p w:rsidR="00F05CBF" w:rsidRPr="00814098" w:rsidRDefault="00F05CBF" w:rsidP="00627D37">
            <w:pPr>
              <w:jc w:val="both"/>
              <w:rPr>
                <w:b/>
                <w:color w:val="FFFFFF" w:themeColor="background1"/>
              </w:rPr>
            </w:pPr>
            <w:r>
              <w:rPr>
                <w:b/>
                <w:color w:val="FFFFFF" w:themeColor="background1"/>
              </w:rPr>
              <w:t>07</w:t>
            </w:r>
            <w:r w:rsidRPr="00814098">
              <w:rPr>
                <w:b/>
                <w:color w:val="FFFFFF" w:themeColor="background1"/>
              </w:rPr>
              <w:t xml:space="preserve"> – Cambio del Formato de </w:t>
            </w:r>
            <w:r w:rsidR="00627D37">
              <w:rPr>
                <w:b/>
                <w:color w:val="FFFFFF" w:themeColor="background1"/>
              </w:rPr>
              <w:t>Hora</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C36B43">
            <w:pPr>
              <w:jc w:val="both"/>
            </w:pPr>
            <w:r>
              <w:t>27/04/2014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F05CBF" w:rsidP="00C36B43">
            <w:pPr>
              <w:jc w:val="both"/>
            </w:pPr>
            <w:r>
              <w:t>Juan I. Guerrero Rodríguez</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F05CBF" w:rsidP="00C36B43">
            <w:pPr>
              <w:jc w:val="both"/>
            </w:pPr>
            <w:r>
              <w:t>Cesar Zegarra Medina</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F05CBF" w:rsidRDefault="0020791F" w:rsidP="0020791F">
            <w:pPr>
              <w:jc w:val="both"/>
            </w:pPr>
            <w:r>
              <w:t xml:space="preserve">El </w:t>
            </w:r>
            <w:r w:rsidR="00F05CBF">
              <w:t xml:space="preserve">formato de </w:t>
            </w:r>
            <w:r>
              <w:t>hora es</w:t>
            </w:r>
            <w:r w:rsidR="00F05CBF">
              <w:t xml:space="preserve"> igual al que está en la base de datos (</w:t>
            </w:r>
            <w:proofErr w:type="spellStart"/>
            <w:r w:rsidR="00627D37">
              <w:t>HH:mm:ss</w:t>
            </w:r>
            <w:proofErr w:type="spellEnd"/>
            <w:r w:rsidR="00F05CBF">
              <w:t xml:space="preserve">), </w:t>
            </w:r>
            <w:r>
              <w:t xml:space="preserve">y esta es </w:t>
            </w:r>
            <w:r w:rsidR="00DE3093">
              <w:t>muy larga</w:t>
            </w:r>
            <w:r>
              <w:t>, además ti</w:t>
            </w:r>
            <w:r w:rsidR="001C65A8">
              <w:t>ene un formato de 24h que alguna</w:t>
            </w:r>
            <w:r>
              <w:t>s</w:t>
            </w:r>
            <w:r w:rsidR="001C65A8">
              <w:t xml:space="preserve"> personas</w:t>
            </w:r>
            <w:r>
              <w:t xml:space="preserve"> no están acostumbrad</w:t>
            </w:r>
            <w:r w:rsidR="001C65A8">
              <w:t>a</w:t>
            </w:r>
            <w:r>
              <w:t>s</w:t>
            </w:r>
            <w:r w:rsidR="00F05CBF">
              <w:t>.</w:t>
            </w:r>
          </w:p>
          <w:p w:rsidR="00F05CBF" w:rsidRDefault="00F05CBF" w:rsidP="00C36B43">
            <w:pPr>
              <w:spacing w:before="240"/>
              <w:jc w:val="both"/>
            </w:pPr>
            <w:r>
              <w:t>Se solicita el cambio a</w:t>
            </w:r>
            <w:r w:rsidR="002217C8">
              <w:t>l siguiente formato</w:t>
            </w:r>
            <w:r>
              <w:t>:</w:t>
            </w:r>
          </w:p>
          <w:p w:rsidR="00F05CBF" w:rsidRDefault="007B2C13" w:rsidP="007B2C13">
            <w:pPr>
              <w:spacing w:before="240"/>
              <w:jc w:val="both"/>
            </w:pPr>
            <w:r>
              <w:t>Hora</w:t>
            </w:r>
            <w:r w:rsidR="00F05CBF">
              <w:t xml:space="preserve">: </w:t>
            </w:r>
            <w:proofErr w:type="spellStart"/>
            <w:r>
              <w:t>hh:mm</w:t>
            </w:r>
            <w:proofErr w:type="spellEnd"/>
            <w:r>
              <w:t xml:space="preserve"> am/pm</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F05CBF" w:rsidRDefault="00F05CBF" w:rsidP="00C36B43">
            <w:pPr>
              <w:jc w:val="both"/>
            </w:pPr>
            <w:r>
              <w:t>El cambio solicitado se considera necesario:</w:t>
            </w:r>
          </w:p>
          <w:p w:rsidR="00F05CBF" w:rsidRDefault="007B2C13" w:rsidP="00C36B43">
            <w:pPr>
              <w:spacing w:before="240"/>
              <w:jc w:val="both"/>
            </w:pPr>
            <w:r>
              <w:t>El formato actual además de ser largo, contiene segundos que no tienen ninguna relevancia en la programación de horas, no tiene un formato que muchos manejas por ser 24h, lo aconsejable sería cambiarlo a AM y PM</w:t>
            </w:r>
            <w:r w:rsidR="00F05CBF">
              <w:t>.</w:t>
            </w:r>
          </w:p>
        </w:tc>
      </w:tr>
    </w:tbl>
    <w:p w:rsidR="00081880" w:rsidRDefault="00081880" w:rsidP="00081880"/>
    <w:p w:rsidR="00F05CBF" w:rsidRDefault="00F05CBF" w:rsidP="00081880"/>
    <w:p w:rsidR="00980811" w:rsidRDefault="00980811" w:rsidP="00081880"/>
    <w:p w:rsidR="00980811" w:rsidRDefault="00980811" w:rsidP="00081880"/>
    <w:p w:rsidR="002217C8" w:rsidRDefault="002217C8" w:rsidP="00081880"/>
    <w:p w:rsidR="00980811" w:rsidRDefault="00980811"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lastRenderedPageBreak/>
              <w:t>ID</w:t>
            </w:r>
          </w:p>
        </w:tc>
        <w:tc>
          <w:tcPr>
            <w:tcW w:w="6656" w:type="dxa"/>
            <w:shd w:val="clear" w:color="auto" w:fill="4472C4" w:themeFill="accent5"/>
          </w:tcPr>
          <w:p w:rsidR="00F05CBF" w:rsidRPr="00814098" w:rsidRDefault="00F05CBF" w:rsidP="00A45810">
            <w:pPr>
              <w:jc w:val="both"/>
              <w:rPr>
                <w:b/>
                <w:color w:val="FFFFFF" w:themeColor="background1"/>
              </w:rPr>
            </w:pPr>
            <w:r w:rsidRPr="00814098">
              <w:rPr>
                <w:b/>
                <w:color w:val="FFFFFF" w:themeColor="background1"/>
              </w:rPr>
              <w:t>0</w:t>
            </w:r>
            <w:r w:rsidR="00A45810">
              <w:rPr>
                <w:b/>
                <w:color w:val="FFFFFF" w:themeColor="background1"/>
              </w:rPr>
              <w:t>8</w:t>
            </w:r>
            <w:r w:rsidRPr="00814098">
              <w:rPr>
                <w:b/>
                <w:color w:val="FFFFFF" w:themeColor="background1"/>
              </w:rPr>
              <w:t xml:space="preserve"> – </w:t>
            </w:r>
            <w:r w:rsidR="002D2AF7">
              <w:rPr>
                <w:b/>
                <w:color w:val="FFFFFF" w:themeColor="background1"/>
              </w:rPr>
              <w:t>Interfaz de Operaciones Próximas</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C36B43">
            <w:pPr>
              <w:jc w:val="both"/>
            </w:pPr>
            <w:r>
              <w:t>27/04/2014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F05CBF" w:rsidP="00C36B43">
            <w:pPr>
              <w:jc w:val="both"/>
            </w:pPr>
            <w:r>
              <w:t>Juan I. Guerrero Rodríguez</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F05CBF" w:rsidP="00C36B43">
            <w:pPr>
              <w:jc w:val="both"/>
            </w:pPr>
            <w:r>
              <w:t>Cesar Zegarra Medina</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F05CBF" w:rsidRDefault="002D2AF7" w:rsidP="006D56C2">
            <w:pPr>
              <w:jc w:val="both"/>
            </w:pPr>
            <w:r>
              <w:t xml:space="preserve">La información proporcionada por la interfaz no contiene muchos de los datos que </w:t>
            </w:r>
            <w:r w:rsidR="006D56C2">
              <w:t xml:space="preserve">se necesitan para realizar la correcta distribución de </w:t>
            </w:r>
            <w:r w:rsidR="00F1375E">
              <w:t xml:space="preserve">materiales quirúrgicos e </w:t>
            </w:r>
            <w:r w:rsidR="006D56C2">
              <w:t>insumos.</w:t>
            </w:r>
          </w:p>
          <w:p w:rsidR="006D56C2" w:rsidRDefault="006D56C2" w:rsidP="006D56C2">
            <w:pPr>
              <w:spacing w:before="240"/>
              <w:jc w:val="both"/>
            </w:pPr>
            <w:r>
              <w:t>No cuenta con el nombre del paciente, las enfermeras asignadas para la operación</w:t>
            </w:r>
            <w:r w:rsidR="00F1375E">
              <w:t xml:space="preserve"> ni la sala de operaciones asignada.</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922E09" w:rsidRDefault="00C973A5" w:rsidP="00636964">
            <w:pPr>
              <w:jc w:val="both"/>
            </w:pPr>
            <w:r>
              <w:t xml:space="preserve">Esta información ayudaría a gestionar </w:t>
            </w:r>
            <w:r w:rsidR="00922E09">
              <w:t xml:space="preserve">los materiales e insumos suficientes </w:t>
            </w:r>
            <w:r>
              <w:t xml:space="preserve">que son necesarios </w:t>
            </w:r>
            <w:r w:rsidR="00922E09">
              <w:t xml:space="preserve">durante una operación, </w:t>
            </w:r>
            <w:r>
              <w:t xml:space="preserve">esto </w:t>
            </w:r>
            <w:r w:rsidR="00922E09">
              <w:t>podría ayudar ante algunas complicaciones que pudieran surgir durante la operación.</w:t>
            </w:r>
          </w:p>
          <w:p w:rsidR="00F05CBF" w:rsidRDefault="00922E09" w:rsidP="00922E09">
            <w:pPr>
              <w:spacing w:before="240"/>
              <w:jc w:val="both"/>
            </w:pPr>
            <w:r>
              <w:t>Se necesita el nombre del paciente para que sea rápidamente identificado por sus familiares.</w:t>
            </w:r>
          </w:p>
        </w:tc>
      </w:tr>
    </w:tbl>
    <w:p w:rsidR="00F05CBF" w:rsidRDefault="00F05CBF"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t>ID</w:t>
            </w:r>
          </w:p>
        </w:tc>
        <w:tc>
          <w:tcPr>
            <w:tcW w:w="6656" w:type="dxa"/>
            <w:shd w:val="clear" w:color="auto" w:fill="4472C4" w:themeFill="accent5"/>
          </w:tcPr>
          <w:p w:rsidR="00F05CBF" w:rsidRPr="00814098" w:rsidRDefault="00F05CBF" w:rsidP="00C973A5">
            <w:pPr>
              <w:jc w:val="both"/>
              <w:rPr>
                <w:b/>
                <w:color w:val="FFFFFF" w:themeColor="background1"/>
              </w:rPr>
            </w:pPr>
            <w:r>
              <w:rPr>
                <w:b/>
                <w:color w:val="FFFFFF" w:themeColor="background1"/>
              </w:rPr>
              <w:t>09</w:t>
            </w:r>
            <w:r w:rsidRPr="00814098">
              <w:rPr>
                <w:b/>
                <w:color w:val="FFFFFF" w:themeColor="background1"/>
              </w:rPr>
              <w:t xml:space="preserve"> –</w:t>
            </w:r>
            <w:r w:rsidR="002D2AF7">
              <w:rPr>
                <w:b/>
                <w:color w:val="FFFFFF" w:themeColor="background1"/>
              </w:rPr>
              <w:t xml:space="preserve"> </w:t>
            </w:r>
            <w:r w:rsidR="001174EA">
              <w:rPr>
                <w:b/>
                <w:color w:val="FFFFFF" w:themeColor="background1"/>
              </w:rPr>
              <w:t xml:space="preserve">Información del </w:t>
            </w:r>
            <w:r w:rsidR="00C973A5">
              <w:rPr>
                <w:b/>
                <w:color w:val="FFFFFF" w:themeColor="background1"/>
              </w:rPr>
              <w:t>Seguro del paciente</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F05CBF">
            <w:pPr>
              <w:jc w:val="both"/>
            </w:pPr>
            <w:r>
              <w:t>2</w:t>
            </w:r>
            <w:r>
              <w:t>8</w:t>
            </w:r>
            <w:r>
              <w:t>/04/2014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F05CBF" w:rsidP="00C36B43">
            <w:pPr>
              <w:jc w:val="both"/>
            </w:pPr>
            <w:r>
              <w:t>Juan I. Guerrero Rodríguez</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F05CBF" w:rsidP="00C36B43">
            <w:pPr>
              <w:jc w:val="both"/>
            </w:pPr>
            <w:r>
              <w:t>Cesar Zegarra Medina</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935DD2" w:rsidRDefault="002D2AF7" w:rsidP="00935DD2">
            <w:pPr>
              <w:jc w:val="both"/>
            </w:pPr>
            <w:r>
              <w:t xml:space="preserve">El sistema </w:t>
            </w:r>
            <w:r w:rsidR="00C973A5">
              <w:t xml:space="preserve">guarda información básica del paciente, e información propia del </w:t>
            </w:r>
            <w:r w:rsidR="00CD2282">
              <w:t>síndrome, enfermedad u otro mal</w:t>
            </w:r>
            <w:r w:rsidR="00C973A5">
              <w:t xml:space="preserve"> que pade</w:t>
            </w:r>
            <w:r w:rsidR="00CD2282">
              <w:t xml:space="preserve">zca, sin embargo no se observa la información del seguro que el paciente tenga, ni </w:t>
            </w:r>
            <w:r w:rsidR="00935DD2">
              <w:t>como</w:t>
            </w:r>
            <w:r w:rsidR="00CD2282">
              <w:t xml:space="preserve"> contact</w:t>
            </w:r>
            <w:r w:rsidR="00935DD2">
              <w:t>arse</w:t>
            </w:r>
            <w:r w:rsidR="00CD2282">
              <w:t xml:space="preserve"> a este</w:t>
            </w:r>
            <w:r w:rsidR="00935DD2">
              <w:t>.</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F05CBF" w:rsidRDefault="00954964" w:rsidP="00954964">
            <w:pPr>
              <w:jc w:val="both"/>
            </w:pPr>
            <w:r>
              <w:t>Es necesario contar con la información respecto al seguro, para poder informarles la situación actual, en caso sea necesario, del paciente después de la operación.</w:t>
            </w:r>
          </w:p>
        </w:tc>
      </w:tr>
    </w:tbl>
    <w:p w:rsidR="00F05CBF" w:rsidRDefault="00F05CBF"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t>ID</w:t>
            </w:r>
          </w:p>
        </w:tc>
        <w:tc>
          <w:tcPr>
            <w:tcW w:w="6656" w:type="dxa"/>
            <w:shd w:val="clear" w:color="auto" w:fill="4472C4" w:themeFill="accent5"/>
          </w:tcPr>
          <w:p w:rsidR="00F05CBF" w:rsidRPr="00814098" w:rsidRDefault="00F05CBF" w:rsidP="00C36B43">
            <w:pPr>
              <w:jc w:val="both"/>
              <w:rPr>
                <w:b/>
                <w:color w:val="FFFFFF" w:themeColor="background1"/>
              </w:rPr>
            </w:pPr>
            <w:r>
              <w:rPr>
                <w:b/>
                <w:color w:val="FFFFFF" w:themeColor="background1"/>
              </w:rPr>
              <w:t>10</w:t>
            </w:r>
            <w:r w:rsidRPr="00814098">
              <w:rPr>
                <w:b/>
                <w:color w:val="FFFFFF" w:themeColor="background1"/>
              </w:rPr>
              <w:t xml:space="preserve"> – </w:t>
            </w:r>
            <w:r w:rsidR="00745902">
              <w:rPr>
                <w:b/>
                <w:color w:val="FFFFFF" w:themeColor="background1"/>
              </w:rPr>
              <w:t>Interfaz de Operaciones Próximas</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C36B43">
            <w:pPr>
              <w:jc w:val="both"/>
            </w:pPr>
            <w:r>
              <w:t>28/04/2014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F05CBF" w:rsidP="00C36B43">
            <w:pPr>
              <w:jc w:val="both"/>
            </w:pPr>
            <w:r>
              <w:t>Juan I. Guerrero Rodríguez</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F05CBF" w:rsidP="00C36B43">
            <w:pPr>
              <w:jc w:val="both"/>
            </w:pPr>
            <w:r>
              <w:t>Cesar Zegarra Medina</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F05CBF" w:rsidRDefault="00745902" w:rsidP="00745902">
            <w:pPr>
              <w:jc w:val="both"/>
            </w:pPr>
            <w:r>
              <w:t>La combinación de colores que tiene la interfaz es la adecuada, sin embargo, la tabla donde está la información de las operaciones más próximas tiene un color uniforme, y llega a confundir al cliente en la lectura de los datos que tiene.</w:t>
            </w:r>
          </w:p>
          <w:p w:rsidR="00745902" w:rsidRDefault="00745902" w:rsidP="00745902">
            <w:pPr>
              <w:jc w:val="both"/>
            </w:pPr>
            <w:r>
              <w:t>Se recomienda utilizar un color oscuro en la cabecera de la tabla, y las filas de esta tener 2 colores que se alternen, facilitando así su lectura.</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636964" w:rsidRDefault="00636964" w:rsidP="00636964">
            <w:pPr>
              <w:jc w:val="both"/>
            </w:pPr>
            <w:r>
              <w:t>Tener una tabla que ayude a separar información de una y otra fila es necesario dado que al no contar con líneas de separación podría a llevar a la confusión y considerar datos de otra fila cuando no le corresponde</w:t>
            </w:r>
            <w:r w:rsidR="00F05CBF">
              <w:t>.</w:t>
            </w:r>
            <w:r>
              <w:t xml:space="preserve"> Además la haría más agradable y entendible.</w:t>
            </w:r>
            <w:bookmarkStart w:id="0" w:name="_GoBack"/>
            <w:bookmarkEnd w:id="0"/>
          </w:p>
        </w:tc>
      </w:tr>
    </w:tbl>
    <w:p w:rsidR="00F05CBF" w:rsidRDefault="00F05CBF" w:rsidP="00081880"/>
    <w:sectPr w:rsidR="00F05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80"/>
    <w:rsid w:val="00081880"/>
    <w:rsid w:val="000D297A"/>
    <w:rsid w:val="001174EA"/>
    <w:rsid w:val="001C65A8"/>
    <w:rsid w:val="0020791F"/>
    <w:rsid w:val="002217C8"/>
    <w:rsid w:val="002D2AF7"/>
    <w:rsid w:val="003B3AD9"/>
    <w:rsid w:val="004F0F4D"/>
    <w:rsid w:val="00627D37"/>
    <w:rsid w:val="00636964"/>
    <w:rsid w:val="006D56C2"/>
    <w:rsid w:val="00745902"/>
    <w:rsid w:val="007B2C13"/>
    <w:rsid w:val="00814098"/>
    <w:rsid w:val="00922E09"/>
    <w:rsid w:val="00935DD2"/>
    <w:rsid w:val="00954964"/>
    <w:rsid w:val="00980811"/>
    <w:rsid w:val="00A45810"/>
    <w:rsid w:val="00B84368"/>
    <w:rsid w:val="00C85288"/>
    <w:rsid w:val="00C973A5"/>
    <w:rsid w:val="00C97843"/>
    <w:rsid w:val="00CD2282"/>
    <w:rsid w:val="00DE3093"/>
    <w:rsid w:val="00E17EB9"/>
    <w:rsid w:val="00F05CBF"/>
    <w:rsid w:val="00F1375E"/>
    <w:rsid w:val="00F92C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B07A4-1230-4DFE-A6FE-9351767D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7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Juaneko</dc:creator>
  <cp:keywords/>
  <dc:description/>
  <cp:lastModifiedBy>Juaneko</cp:lastModifiedBy>
  <cp:revision>20</cp:revision>
  <dcterms:created xsi:type="dcterms:W3CDTF">2014-04-29T17:04:00Z</dcterms:created>
  <dcterms:modified xsi:type="dcterms:W3CDTF">2014-04-29T21:55:00Z</dcterms:modified>
</cp:coreProperties>
</file>