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96"/>
          <w:sz-cs w:val="96"/>
        </w:rPr>
        <w:t xml:space="preserve">Documento de especificación de  Caso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40"/>
          <w:sz-cs w:val="40"/>
        </w:rPr>
        <w:t xml:space="preserve">“Exportar Reserva”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Lima, 29 de Abril del 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Versión 1.0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Impact" w:hAnsi="Impact" w:cs="Impact"/>
          <w:sz w:val="40"/>
          <w:sz-cs w:val="40"/>
          <w:color w:val="333333"/>
        </w:rPr>
        <w:t xml:space="preserve">Tabla de Contenidos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INTRODUCCIÓN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Propósito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Alcance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GLOSARIO DE TERMINOS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ESPECIFICACIONES FUNCIONALES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Diagrama de Casos de Uso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Registrar cliente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IV.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PROTOTIPOS DE PANTALLAS DEL SISTEMA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Ediciones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Revisiones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Aprobaciones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INTRODUCCIÓN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Propósito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propósito de este documento es especificar las funcionalidades a implementarse como parte del proyecto SRO, en términos de actores, casos de uso, características del sistema y restricciones de dicho sistema.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Alcance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alcance de este documento se circunscribe a los requerimientos solicitados por el cliente. Además el documento hace referencia a algunas funcionalidades y comportamientos de la aplicacion SRO.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aplicarán para: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[Citar aca que no se hara, pero brevemente]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GLOSARIO DE TERMINOS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“SRO”</w:t>
      </w:r>
      <w:r>
        <w:rPr>
          <w:rFonts w:ascii="Times" w:hAnsi="Times" w:cs="Times"/>
          <w:sz w:val="24"/>
          <w:sz-cs w:val="24"/>
        </w:rPr>
        <w:t xml:space="preserve">: Hace referencia al Sistema de Reserva de Operacion.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ESPECIFICACIONES FUNCIONALES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Diagrama de Casos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Registrar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Breve Descripción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El cliente que no se encuentra registrado en la Tienda puede solicitar su registro desde esta página.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Actores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Cliente: Con este nombre se ha generalizado a cualquier usuario que utilice los sistemas de "XYZ"para compras a través de una tienda online. Ver definición completa en la sección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Glosario de Términos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Precondiciones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cuenta con un RUT válido para el registro.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Post-Condiciones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Se registra al cliente como un usuario registrado dentro de la Tienda Virtual y en el repositorio de clave única.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 Básico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selecciona la opción “Regístrate”.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la página en blanco con la siguiente información para ser completada: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Paterno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Materno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Confirmar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Pregunta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Respuesta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de trabajo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Recibir ofertas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Ingresar dirección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completa la información y selecciona la opción “Continuar”. </w:t>
      </w:r>
      <w:r>
        <w:rPr>
          <w:rFonts w:ascii="Times" w:hAnsi="Times" w:cs="Times"/>
          <w:sz w:val="24"/>
          <w:sz-cs w:val="24"/>
          <w:b/>
        </w:rPr>
        <w:t xml:space="preserve">[EX1][EX2]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como cliente de Tienda.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[EX3]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[EX4]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la base de datos de la tienda.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[EX10]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invoca al Web Service AdministrationConnectorWS para crear un usuario en el repositorio de clave única, los datos son: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completo.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recibe un código de éxito indicando que el cliente se registró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[EX5][EX6]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el sistema de Tienda y actualiza la información del cliente en el repositorio de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Flujos Alternativos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Requerimientos Especiales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>
        <w:ind w:left="5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Inclusión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Extensión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Excepciones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[EX1] El sistema verifica que no se ha ingresado toda la información obligatoria del formulario.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su &lt;campo obligatorio faltante&gt;”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[EX2] El sistema verifica que no se ha ingresado una clave de cuatro dígitos.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una contraseña de 4 dígitos”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[EX3] El sistema verifica que el cliente ya se encuentra registrado en la tienda aunque se encuentre o no registrado en 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 mensaje en la parte superior de la página indicando </w:t>
      </w:r>
      <w:r>
        <w:rPr>
          <w:rFonts w:ascii="Times" w:hAnsi="Times" w:cs="Times"/>
          <w:sz w:val="24"/>
          <w:sz-cs w:val="24"/>
          <w:i/>
        </w:rPr>
        <w:t xml:space="preserve">“El Rut que ha ingresado ya esta registrado en la Tienda”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la información ingresada del cliente en la página.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</w:t>
      </w:r>
      <w:r>
        <w:rPr>
          <w:rFonts w:ascii="Times" w:hAnsi="Times" w:cs="Times"/>
          <w:sz w:val="24"/>
          <w:sz-cs w:val="24"/>
          <w:u w:val="single"/>
        </w:rPr>
        <w:t xml:space="preserve">no invoca</w:t>
      </w:r>
      <w:r>
        <w:rPr>
          <w:rFonts w:ascii="Times" w:hAnsi="Times" w:cs="Times"/>
          <w:sz w:val="24"/>
          <w:sz-cs w:val="24"/>
        </w:rPr>
        <w:t xml:space="preserve"> a ningún Web Service para crear un usuario en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[EX4] El sistema recibe un código indicando que el cliente ya existe en el repositorio de clave única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la clave ingresada sea la misma que la clave existente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[EX8]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correctamente al cliente en la base de datos de la tienda y no actualiza ninguna información en el repositorio de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[EX5] El sistema recibe un código indicando que ocurrió un error y no pudo completarse correctamente la operación.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mostrará un mensaje de error al cliente equivalente al que se recibe del Web Service.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[EX6] El sistema no pudo establecer comunicación con el Web Service.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no se ha alcanzado el número máximo de intentos fallidos de comunicación.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[EX7]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retorna al punto 6 del flujo básico.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[EX7] El sistema no pudo establecer comunicación con el Web Service y se alcanzó el número máximo de intentos.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solo en la base de datos de la tienda.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permite en ingreso del cliente a su sesión de usuario.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[EX8] La clave ingresada no coincide con la clave del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 la clave ingresada no corresponde, le agradecemos intentarlo nuevamente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Web Service no indica que se ha bloqueado al usuario.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[EX9]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al cliente en la página de registro sin limpiar la información que ha ingresado.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1 del flujo alternativo </w:t>
      </w:r>
      <w:r>
        <w:rPr>
          <w:rFonts w:ascii="Times" w:hAnsi="Times" w:cs="Times"/>
          <w:sz w:val="24"/>
          <w:sz-cs w:val="24"/>
          <w:b/>
        </w:rPr>
        <w:t xml:space="preserve">EX4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  <w:b/>
        </w:rPr>
        <w:t xml:space="preserve">[EX9] El sistema verifica que el Web Service devuelve un código indicando que el cliente se encuentra bloqueado.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mensaje equivalente que recibe del Web Service.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[EX10] El sistema no pudo registrar correctamente al cliente en la base de datos.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cliente, en estos momentos no podemos atenderlo, le agradecemos intentarlo más tarde o llamar al 600 600 02 02”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Prototipos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>Registro de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  <w:ind w:left="72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PROTOTIPOS DE PANTALLAS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Las pantallas que se muestran a continuación son aquellas donde la tienda sufrirá modificaciones para soportar los nuevos requerimientos del proyecto Clave única, sin embargo el comportamiento y la información descrita es aplicable a la Tienda Virtual y Minitienda Normal.</w:t>
      </w:r>
    </w:p>
    <w:p>
      <w:pPr>
        <w:jc w:val="center"/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cliente registra su información en la página de Registro.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</cp:coreProperties>
</file>

<file path=docProps/meta.xml><?xml version="1.0" encoding="utf-8"?>
<meta xmlns="http://schemas.apple.com/cocoa/2006/metadata">
  <generator>CocoaOOXMLWriter/1265.19</generator>
</meta>
</file>