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“Registar Cirugía”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