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Methods</w:t>
      </w:r>
    </w:p>
    <w:p>
      <w:pPr>
        <w:pStyle w:val="Author"/>
      </w:pPr>
      <w:r>
        <w:t xml:space="preserve">Evgenii</w:t>
      </w:r>
      <w:r>
        <w:t xml:space="preserve"> </w:t>
      </w:r>
      <w:r>
        <w:t xml:space="preserve">O.</w:t>
      </w:r>
      <w:r>
        <w:t xml:space="preserve"> </w:t>
      </w:r>
      <w:r>
        <w:t xml:space="preserve">Tretiakov</w:t>
      </w:r>
    </w:p>
    <w:p>
      <w:pPr>
        <w:pStyle w:val="Date"/>
      </w:pPr>
      <w:r>
        <w:t xml:space="preserve">2023-03-14</w:t>
      </w:r>
    </w:p>
    <w:p>
      <w:pPr>
        <w:pStyle w:val="SourceCode"/>
      </w:pPr>
      <w:r>
        <w:rPr>
          <w:rStyle w:val="CommentTok"/>
        </w:rPr>
        <w:t xml:space="preserve"># Presentation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JSON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"jsonlite"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Tidyverse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DOCNAME),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write_bib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"Seurat"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"SeuratWrappers"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"SeuratDisk"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"sctransform"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"glmGamPoi"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"patchwork"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"scCustomize"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"Nebulosa"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"clustree"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"mrtree"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"gprofiler2"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"cowplot"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"UpSetR"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"ggstatsplot"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"gridExtra"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"magrittr"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"skimr"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"future"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"purrr"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"workflowr"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"zeallot"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"kableExtra"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"reticulate"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DOCNAME, </w:t>
      </w:r>
      <w:r>
        <w:rPr>
          <w:rStyle w:val="StringTok"/>
        </w:rPr>
        <w:t xml:space="preserve">"packages.bib"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versions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biomaRt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"biomaRt"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cellbender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"docker://etretiakov/cellbender:v0.0.1"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cellranger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"7.1.0"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cellranger_ref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"mm10_optimized_v.1.0"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clustree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cowplot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"cowplot"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dplyr 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future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"future"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ggplot2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ggstatsplot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"ggstatsplot"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glmGamPoi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"glmGamPoi"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gprofiler2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"gprofiler2"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gridExtra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"gridExtra"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here  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kableExtra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"kableExtra"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knitr 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magrittr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"magrittr"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mrtree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"mrtree"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Nebulosa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"Nebulosa"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pandoc         =</w:t>
      </w:r>
      <w:r>
        <w:rPr>
          <w:rStyle w:val="NormalTok"/>
        </w:rPr>
        <w:t xml:space="preserve"> rmarkdown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pandoc_version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patchwork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"patchwork"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purrr 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"purrr"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python 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"3.8.8"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     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(R.version.string, </w:t>
      </w:r>
      <w:r>
        <w:rPr>
          <w:rStyle w:val="StringTok"/>
        </w:rPr>
        <w:t xml:space="preserve">"[0-9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.]+"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reticulate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"reticulate"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rmarkdown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scCustomize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"scCustomize"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sctransform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"sctransform"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Seurat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"Seurat"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skimr 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"skimr"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stringr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Snakemake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"7.21.0"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souporcell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"shub://wheaton5/souporcell"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tidyr 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tidyverse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UpSetR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"UpSetR"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viridis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"viridis"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workflowr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"workflowr"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zeallot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"zeallot"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bookmarkStart w:id="20" w:name="pre-processing"/>
    <w:p>
      <w:pPr>
        <w:pStyle w:val="Heading1"/>
      </w:pPr>
      <w:r>
        <w:t xml:space="preserve">Pre-processing</w:t>
      </w:r>
    </w:p>
    <w:p>
      <w:pPr>
        <w:pStyle w:val="FirstParagraph"/>
      </w:pPr>
      <w:r>
        <w:t xml:space="preserve">The Cell Ranger pipeline (v7.1.0)</w:t>
      </w:r>
      <w:r>
        <w:t xml:space="preserve"> </w:t>
      </w:r>
      <w:r>
        <w:t xml:space="preserve">(Zheng et al. 2017)</w:t>
      </w:r>
      <w:r>
        <w:t xml:space="preserve"> </w:t>
      </w:r>
      <w:r>
        <w:t xml:space="preserve">was used to perform sample</w:t>
      </w:r>
      <w:r>
        <w:t xml:space="preserve"> </w:t>
      </w:r>
      <w:r>
        <w:t xml:space="preserve">demultiplexing, barcode processing and single-nuclei gene counting.</w:t>
      </w:r>
      <w:r>
        <w:t xml:space="preserve"> </w:t>
      </w:r>
      <w:r>
        <w:t xml:space="preserve">Briefly, samples were demultiplexed to produce a pair of FASTQ files for</w:t>
      </w:r>
      <w:r>
        <w:t xml:space="preserve"> </w:t>
      </w:r>
      <w:r>
        <w:t xml:space="preserve">each sample. Reads containing sequence information were aligned using</w:t>
      </w:r>
      <w:r>
        <w:t xml:space="preserve"> </w:t>
      </w:r>
      <w:r>
        <w:t xml:space="preserve">the optimised mouse genome reference (vmm10_optimized_v.1.0)</w:t>
      </w:r>
      <w:r>
        <w:t xml:space="preserve"> </w:t>
      </w:r>
      <w:r>
        <w:t xml:space="preserve">provided by Pool’s lab based on the default Cell Ranger mm10 genome</w:t>
      </w:r>
      <w:r>
        <w:t xml:space="preserve"> </w:t>
      </w:r>
      <w:r>
        <w:t xml:space="preserve">version 2020-A that was cleared from gene overlaps, poorly annotated</w:t>
      </w:r>
      <w:r>
        <w:t xml:space="preserve"> </w:t>
      </w:r>
      <w:r>
        <w:t xml:space="preserve">exons and 3’-UTRs and intergenic fragments</w:t>
      </w:r>
      <w:r>
        <w:t xml:space="preserve"> </w:t>
      </w:r>
      <w:r>
        <w:t xml:space="preserve">(Pool et al. 2022)</w:t>
      </w:r>
      <w:r>
        <w:t xml:space="preserve">. PCR duplicates were removed by</w:t>
      </w:r>
      <w:r>
        <w:t xml:space="preserve"> </w:t>
      </w:r>
      <w:r>
        <w:t xml:space="preserve">selecting unique combinations of cell barcodes, unique molecular</w:t>
      </w:r>
      <w:r>
        <w:t xml:space="preserve"> </w:t>
      </w:r>
      <w:r>
        <w:t xml:space="preserve">identifiers (UMIs) and gene ids with the final results being a gene</w:t>
      </w:r>
      <w:r>
        <w:t xml:space="preserve"> </w:t>
      </w:r>
      <w:r>
        <w:t xml:space="preserve">expression matrix that was used for further analysis.</w:t>
      </w:r>
    </w:p>
    <w:bookmarkEnd w:id="20"/>
    <w:bookmarkStart w:id="25" w:name="quality-control"/>
    <w:p>
      <w:pPr>
        <w:pStyle w:val="Heading1"/>
      </w:pPr>
      <w:r>
        <w:t xml:space="preserve">Quality control</w:t>
      </w:r>
    </w:p>
    <w:bookmarkStart w:id="21" w:name="droplet-selection"/>
    <w:p>
      <w:pPr>
        <w:pStyle w:val="Heading2"/>
      </w:pPr>
      <w:r>
        <w:t xml:space="preserve">Droplet selection</w:t>
      </w:r>
    </w:p>
    <w:p>
      <w:pPr>
        <w:pStyle w:val="FirstParagraph"/>
      </w:pPr>
      <w:r>
        <w:t xml:space="preserve">The droplet selection method of Cell Ranger identified 923 nuclei in</w:t>
      </w:r>
      <w:r>
        <w:t xml:space="preserve"> </w:t>
      </w:r>
      <w:r>
        <w:t xml:space="preserve">ventrobasal thalamus and in principal sensory trigeminal nucleus - 731</w:t>
      </w:r>
      <w:r>
        <w:t xml:space="preserve"> </w:t>
      </w:r>
      <w:r>
        <w:t xml:space="preserve">nuclei based on EmptyDrops method</w:t>
      </w:r>
      <w:r>
        <w:t xml:space="preserve"> </w:t>
      </w:r>
      <w:r>
        <w:t xml:space="preserve">(Lun et al. 2019)</w:t>
      </w:r>
      <w:r>
        <w:t xml:space="preserve"> </w:t>
      </w:r>
      <w:r>
        <w:t xml:space="preserve">incorporated into cellranger</w:t>
      </w:r>
      <w:r>
        <w:t xml:space="preserve"> </w:t>
      </w:r>
      <w:r>
        <w:t xml:space="preserve">count pipeline.</w:t>
      </w:r>
    </w:p>
    <w:bookmarkEnd w:id="21"/>
    <w:bookmarkStart w:id="22" w:name="ambient-rna-removal"/>
    <w:p>
      <w:pPr>
        <w:pStyle w:val="Heading2"/>
      </w:pPr>
      <w:r>
        <w:t xml:space="preserve">Ambient RNA removal</w:t>
      </w:r>
    </w:p>
    <w:p>
      <w:pPr>
        <w:pStyle w:val="FirstParagraph"/>
      </w:pPr>
      <w:r>
        <w:t xml:space="preserve">Using those values as the expected number of cells, we applied a neural</w:t>
      </w:r>
      <w:r>
        <w:t xml:space="preserve"> </w:t>
      </w:r>
      <w:r>
        <w:t xml:space="preserve">network-based approach called CellBender (docker://etretiakov/cellbender:v0.0.1)</w:t>
      </w:r>
      <w:r>
        <w:t xml:space="preserve"> </w:t>
      </w:r>
      <w:r>
        <w:t xml:space="preserve">(Fleming et al. 2022)</w:t>
      </w:r>
      <w:r>
        <w:t xml:space="preserve">. We set a false positive rate threshold at the level of</w:t>
      </w:r>
      <w:r>
        <w:t xml:space="preserve"> </w:t>
      </w:r>
      <w:r>
        <w:t xml:space="preserve">0.01 and set the neural network to learn over 150 epochs with a total of</w:t>
      </w:r>
      <w:r>
        <w:t xml:space="preserve"> </w:t>
      </w:r>
      <w:r>
        <w:t xml:space="preserve">5000 droplets included based on knee plots (please see online</w:t>
      </w:r>
      <w:r>
        <w:t xml:space="preserve"> </w:t>
      </w:r>
      <w:r>
        <w:t xml:space="preserve">supplementary Cell Ranger reports).</w:t>
      </w:r>
    </w:p>
    <w:bookmarkEnd w:id="22"/>
    <w:bookmarkStart w:id="23" w:name="doublets-detection"/>
    <w:p>
      <w:pPr>
        <w:pStyle w:val="Heading2"/>
      </w:pPr>
      <w:r>
        <w:t xml:space="preserve">Doublets detection</w:t>
      </w:r>
    </w:p>
    <w:p>
      <w:pPr>
        <w:pStyle w:val="FirstParagraph"/>
      </w:pPr>
      <w:r>
        <w:t xml:space="preserve">We quantified log probability to be a doublet for every cell based on</w:t>
      </w:r>
      <w:r>
        <w:t xml:space="preserve"> </w:t>
      </w:r>
      <w:r>
        <w:t xml:space="preserve">apriori knowledge of genotypes from each input sample and called variant</w:t>
      </w:r>
      <w:r>
        <w:t xml:space="preserve"> </w:t>
      </w:r>
      <w:r>
        <w:t xml:space="preserve">occurrence frequencies that allowed to cluster nuclei to source organism</w:t>
      </w:r>
      <w:r>
        <w:t xml:space="preserve"> </w:t>
      </w:r>
      <w:r>
        <w:t xml:space="preserve">or classify as a doublet</w:t>
      </w:r>
      <w:r>
        <w:t xml:space="preserve"> </w:t>
      </w:r>
      <w:r>
        <w:t xml:space="preserve">(Heaton et al. 2020)</w:t>
      </w:r>
      <w:r>
        <w:t xml:space="preserve"> </w:t>
      </w:r>
      <w:r>
        <w:t xml:space="preserve">(see</w:t>
      </w:r>
      <w:r>
        <w:t xml:space="preserve"> </w:t>
      </w:r>
      <w:r>
        <w:t xml:space="preserve">shub://wheaton5/souporcell).</w:t>
      </w:r>
    </w:p>
    <w:bookmarkEnd w:id="23"/>
    <w:bookmarkStart w:id="24" w:name="further-filtering"/>
    <w:p>
      <w:pPr>
        <w:pStyle w:val="Heading2"/>
      </w:pPr>
      <w:r>
        <w:t xml:space="preserve">Further filtering</w:t>
      </w:r>
    </w:p>
    <w:p>
      <w:pPr>
        <w:pStyle w:val="FirstParagraph"/>
      </w:pPr>
      <w:r>
        <w:t xml:space="preserve">Gene annotation information was added using the gprofiler2 package</w:t>
      </w:r>
      <w:r>
        <w:t xml:space="preserve"> </w:t>
      </w:r>
      <w:r>
        <w:t xml:space="preserve">(v0.2.1)</w:t>
      </w:r>
      <w:r>
        <w:t xml:space="preserve"> </w:t>
      </w:r>
      <w:r>
        <w:t xml:space="preserve">(Reimand et al. 2016)</w:t>
      </w:r>
      <w:r>
        <w:t xml:space="preserve">; thus we</w:t>
      </w:r>
      <w:r>
        <w:t xml:space="preserve"> </w:t>
      </w:r>
      <w:r>
        <w:t xml:space="preserve">filter cells based on high content of mitochondrial, ribosomal or</w:t>
      </w:r>
      <w:r>
        <w:t xml:space="preserve"> </w:t>
      </w:r>
      <w:r>
        <w:t xml:space="preserve">hemoglobin proteins genes, specifically thresholds set as 1%, 1% and</w:t>
      </w:r>
      <w:r>
        <w:t xml:space="preserve"> </w:t>
      </w:r>
      <w:r>
        <w:t xml:space="preserve">0.5%; additionally pseudogenes and poorly annotated genes were also</w:t>
      </w:r>
      <w:r>
        <w:t xml:space="preserve"> </w:t>
      </w:r>
      <w:r>
        <w:t xml:space="preserve">deleted from count matrix. Moreover, cells of low complexity were</w:t>
      </w:r>
      <w:r>
        <w:t xml:space="preserve"> </w:t>
      </w:r>
      <w:r>
        <w:t xml:space="preserve">filtered out as (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G</m:t>
        </m:r>
        <m:r>
          <m:t>e</m:t>
        </m:r>
        <m:r>
          <m:t>n</m:t>
        </m:r>
        <m:r>
          <m:t>e</m:t>
        </m:r>
        <m:r>
          <m:t>s</m:t>
        </m:r>
        <m:r>
          <m:rPr>
            <m:sty m:val="p"/>
          </m:rPr>
          <m:t>/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U</m:t>
        </m:r>
        <m:r>
          <m:t>M</m:t>
        </m:r>
        <m:r>
          <m:t>I</m:t>
        </m:r>
        <m:r>
          <m:rPr>
            <m:sty m:val="p"/>
          </m:rPr>
          <m:t>&lt;</m:t>
        </m:r>
        <m:r>
          <m:t>0.8</m:t>
        </m:r>
      </m:oMath>
      <w:r>
        <w:t xml:space="preserve">). Therefore, cells</w:t>
      </w:r>
      <w:r>
        <w:t xml:space="preserve"> </w:t>
      </w:r>
      <w:r>
        <w:t xml:space="preserve">were assigned cell cycle scores using the</w:t>
      </w:r>
      <w:r>
        <w:t xml:space="preserve"> </w:t>
      </w:r>
      <w:r>
        <w:rPr>
          <w:rStyle w:val="VerbatimChar"/>
        </w:rPr>
        <w:t xml:space="preserve">CellCycleScoring</w:t>
      </w:r>
      <w:r>
        <w:t xml:space="preserve"> </w:t>
      </w:r>
      <w:r>
        <w:t xml:space="preserve">function in</w:t>
      </w:r>
      <w:r>
        <w:t xml:space="preserve"> </w:t>
      </w:r>
      <w:r>
        <w:t xml:space="preserve">the Seurat package (v4.3.0).</w:t>
      </w:r>
    </w:p>
    <w:bookmarkEnd w:id="24"/>
    <w:bookmarkEnd w:id="25"/>
    <w:bookmarkStart w:id="28" w:name="clustering"/>
    <w:p>
      <w:pPr>
        <w:pStyle w:val="Heading1"/>
      </w:pPr>
      <w:r>
        <w:t xml:space="preserve">Clustering</w:t>
      </w:r>
    </w:p>
    <w:bookmarkStart w:id="26" w:name="gene-selection"/>
    <w:p>
      <w:pPr>
        <w:pStyle w:val="Heading2"/>
      </w:pPr>
      <w:r>
        <w:t xml:space="preserve">Gene selection</w:t>
      </w:r>
    </w:p>
    <w:p>
      <w:pPr>
        <w:pStyle w:val="FirstParagraph"/>
      </w:pPr>
      <w:r>
        <w:t xml:space="preserve">We used the selection method in the Seurat package</w:t>
      </w:r>
      <w:r>
        <w:t xml:space="preserve"> </w:t>
      </w:r>
      <w:r>
        <w:t xml:space="preserve">(v4.3.0)</w:t>
      </w:r>
      <w:r>
        <w:t xml:space="preserve"> </w:t>
      </w:r>
      <w:r>
        <w:t xml:space="preserve">(Satija et al. 2015; Stuart and Satija 2019)</w:t>
      </w:r>
      <w:r>
        <w:t xml:space="preserve">, which uses a modern variance</w:t>
      </w:r>
      <w:r>
        <w:t xml:space="preserve"> </w:t>
      </w:r>
      <w:r>
        <w:t xml:space="preserve">stabilising transformation statistical technic that utilises scaling to</w:t>
      </w:r>
      <w:r>
        <w:t xml:space="preserve"> </w:t>
      </w:r>
      <w:r>
        <w:t xml:space="preserve">person residuals</w:t>
      </w:r>
      <w:r>
        <w:t xml:space="preserve"> </w:t>
      </w:r>
      <w:r>
        <w:t xml:space="preserve">(Hafemeister and Satija 2019)</w:t>
      </w:r>
      <w:r>
        <w:t xml:space="preserve">. That way, we selected 3000 highly</w:t>
      </w:r>
      <w:r>
        <w:t xml:space="preserve"> </w:t>
      </w:r>
      <w:r>
        <w:t xml:space="preserve">variable genes per dataset and regressed out complexity and cell-cycle</w:t>
      </w:r>
      <w:r>
        <w:t xml:space="preserve"> </w:t>
      </w:r>
      <w:r>
        <w:t xml:space="preserve">variability prior to the final scaling of filtered matrixes.</w:t>
      </w:r>
    </w:p>
    <w:bookmarkEnd w:id="26"/>
    <w:bookmarkStart w:id="27" w:name="X736a76b4b828f5155c422b3d94cbbe60a1bb7e1"/>
    <w:p>
      <w:pPr>
        <w:pStyle w:val="Heading2"/>
      </w:pPr>
      <w:r>
        <w:t xml:space="preserve">Graph-based and multi-level reconcile tree clustering</w:t>
      </w:r>
    </w:p>
    <w:p>
      <w:pPr>
        <w:pStyle w:val="FirstParagraph"/>
      </w:pPr>
      <w:r>
        <w:t xml:space="preserve">We performed Leiden algorithm graph-based clustering. PCA was performed</w:t>
      </w:r>
      <w:r>
        <w:t xml:space="preserve"> </w:t>
      </w:r>
      <w:r>
        <w:t xml:space="preserve">using the selected genes and the jackknife tested</w:t>
      </w:r>
      <w:r>
        <w:t xml:space="preserve"> </w:t>
      </w:r>
      <w:r>
        <w:t xml:space="preserve">(Chung and Storey 2015)</w:t>
      </w:r>
      <w:r>
        <w:t xml:space="preserve"> </w:t>
      </w:r>
      <w:r>
        <w:t xml:space="preserve">principal components (we</w:t>
      </w:r>
      <w:r>
        <w:t xml:space="preserve"> </w:t>
      </w:r>
      <w:r>
        <w:t xml:space="preserve">tested the significance of feature for randomly picked 1% of data over</w:t>
      </w:r>
      <w:r>
        <w:t xml:space="preserve"> </w:t>
      </w:r>
      <w:r>
        <w:t xml:space="preserve">1000 iterations; see</w:t>
      </w:r>
      <w:r>
        <w:t xml:space="preserve"> </w:t>
      </w:r>
      <w:r>
        <w:rPr>
          <w:rStyle w:val="VerbatimChar"/>
        </w:rPr>
        <w:t xml:space="preserve">PCScore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functions.R</w:t>
      </w:r>
      <w:r>
        <w:t xml:space="preserve"> </w:t>
      </w:r>
      <w:r>
        <w:t xml:space="preserve">script of code</w:t>
      </w:r>
      <w:r>
        <w:t xml:space="preserve"> </w:t>
      </w:r>
      <w:r>
        <w:t xml:space="preserve">directory) were used to construct a shared nearest neighbour graph using</w:t>
      </w:r>
      <w:r>
        <w:t xml:space="preserve"> </w:t>
      </w:r>
      <w:r>
        <w:t xml:space="preserve">the overlap between the</w:t>
      </w:r>
      <w:r>
        <w:t xml:space="preserve"> </w:t>
      </w:r>
      <w:r>
        <w:rPr>
          <w:rStyle w:val="VerbatimChar"/>
        </w:rPr>
        <w:t xml:space="preserve">15</w:t>
      </w:r>
      <w:r>
        <w:t xml:space="preserve"> </w:t>
      </w:r>
      <w:r>
        <w:t xml:space="preserve">nearest neighbours of each cell. Leiden</w:t>
      </w:r>
      <w:r>
        <w:t xml:space="preserve"> </w:t>
      </w:r>
      <w:r>
        <w:t xml:space="preserve">modularity optimisation</w:t>
      </w:r>
      <w:r>
        <w:t xml:space="preserve"> </w:t>
      </w:r>
      <w:r>
        <w:t xml:space="preserve">(Traag, Waltman, and Eck 2019)</w:t>
      </w:r>
      <w:r>
        <w:t xml:space="preserve"> </w:t>
      </w:r>
      <w:r>
        <w:t xml:space="preserve">was used to partition this graph</w:t>
      </w:r>
      <w:r>
        <w:t xml:space="preserve"> </w:t>
      </w:r>
      <w:r>
        <w:t xml:space="preserve">with an array of resolution parameters where 30 modularity events were</w:t>
      </w:r>
      <w:r>
        <w:t xml:space="preserve"> </w:t>
      </w:r>
      <w:r>
        <w:t xml:space="preserve">sampled between</w:t>
      </w:r>
      <w:r>
        <w:t xml:space="preserve"> </w:t>
      </w:r>
      <w:r>
        <w:rPr>
          <w:rStyle w:val="VerbatimChar"/>
        </w:rPr>
        <w:t xml:space="preserve">0.2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2.5</w:t>
      </w:r>
      <w:r>
        <w:t xml:space="preserve">. Clustering tree visualisations</w:t>
      </w:r>
      <w:r>
        <w:t xml:space="preserve"> </w:t>
      </w:r>
      <w:r>
        <w:t xml:space="preserve">(Zappia and Oshlack 2018)</w:t>
      </w:r>
      <w:r>
        <w:t xml:space="preserve"> </w:t>
      </w:r>
      <w:r>
        <w:t xml:space="preserve">were produced using the</w:t>
      </w:r>
      <w:r>
        <w:t xml:space="preserve"> </w:t>
      </w:r>
      <w:r>
        <w:t xml:space="preserve">clustree package (v0.5.0) showing the resolution of</w:t>
      </w:r>
      <w:r>
        <w:t xml:space="preserve"> </w:t>
      </w:r>
      <w:r>
        <w:t xml:space="preserve">previously identified clusters. By inspecting these resolutions</w:t>
      </w:r>
      <w:r>
        <w:t xml:space="preserve"> </w:t>
      </w:r>
      <w:r>
        <w:t xml:space="preserve">reconcile tree produced by mrtree package (v0.0.0.9000)</w:t>
      </w:r>
      <w:r>
        <w:t xml:space="preserve"> </w:t>
      </w:r>
      <w:r>
        <w:t xml:space="preserve">(Peng et al. 2021)</w:t>
      </w:r>
      <w:r>
        <w:t xml:space="preserve"> </w:t>
      </w:r>
      <w:r>
        <w:t xml:space="preserve">and calculating adjusted multi-resolution</w:t>
      </w:r>
      <w:r>
        <w:t xml:space="preserve"> </w:t>
      </w:r>
      <w:r>
        <w:t xml:space="preserve">Rand index chosen as maximum value if there is no higher modularity</w:t>
      </w:r>
      <w:r>
        <w:t xml:space="preserve"> </w:t>
      </w:r>
      <w:r>
        <w:t xml:space="preserve">within</w:t>
      </w:r>
      <w:r>
        <w:t xml:space="preserve"> </w:t>
      </w:r>
      <w:r>
        <w:rPr>
          <w:rStyle w:val="VerbatimChar"/>
        </w:rPr>
        <w:t xml:space="preserve">0.05</w:t>
      </w:r>
      <w:r>
        <w:t xml:space="preserve"> </w:t>
      </w:r>
      <w:r>
        <w:t xml:space="preserve">AMRI difference (see</w:t>
      </w:r>
      <w:r>
        <w:t xml:space="preserve"> </w:t>
      </w:r>
      <w:r>
        <w:rPr>
          <w:rStyle w:val="VerbatimChar"/>
        </w:rPr>
        <w:t xml:space="preserve">SelectResolution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function.R</w:t>
      </w:r>
      <w:r>
        <w:t xml:space="preserve"> </w:t>
      </w:r>
      <w:r>
        <w:t xml:space="preserve">file of code directory).</w:t>
      </w:r>
    </w:p>
    <w:bookmarkEnd w:id="27"/>
    <w:bookmarkEnd w:id="28"/>
    <w:bookmarkStart w:id="29" w:name="marker-genes"/>
    <w:p>
      <w:pPr>
        <w:pStyle w:val="Heading1"/>
      </w:pPr>
      <w:r>
        <w:t xml:space="preserve">Marker genes</w:t>
      </w:r>
    </w:p>
    <w:p>
      <w:pPr>
        <w:pStyle w:val="FirstParagraph"/>
      </w:pPr>
      <w:r>
        <w:t xml:space="preserve">Marker genes for each cluster were identified using logreg test</w:t>
      </w:r>
      <w:r>
        <w:t xml:space="preserve"> </w:t>
      </w:r>
      <w:r>
        <w:t xml:space="preserve">(Ntranos et al. 2019)</w:t>
      </w:r>
      <w:r>
        <w:t xml:space="preserve"> </w:t>
      </w:r>
      <w:r>
        <w:t xml:space="preserve">implemented in Seurat framework (v)</w:t>
      </w:r>
      <w:r>
        <w:t xml:space="preserve"> </w:t>
      </w:r>
      <w:r>
        <w:t xml:space="preserve">(Stuart and Satija 2019)</w:t>
      </w:r>
      <w:r>
        <w:t xml:space="preserve">. Genes were considered</w:t>
      </w:r>
      <w:r>
        <w:t xml:space="preserve"> </w:t>
      </w:r>
      <w:r>
        <w:t xml:space="preserve">significant markers for a cluster if they had an FDR less than</w:t>
      </w:r>
      <w:r>
        <w:t xml:space="preserve"> </w:t>
      </w:r>
      <w:r>
        <w:rPr>
          <w:rStyle w:val="VerbatimChar"/>
        </w:rPr>
        <w:t xml:space="preserve">0.001</w:t>
      </w:r>
      <w:r>
        <w:t xml:space="preserve">.</w:t>
      </w:r>
      <w:r>
        <w:t xml:space="preserve"> </w:t>
      </w:r>
      <w:r>
        <w:t xml:space="preserve">Identities were assigned to each cluster by comparing the detected genes</w:t>
      </w:r>
      <w:r>
        <w:t xml:space="preserve"> </w:t>
      </w:r>
      <w:r>
        <w:t xml:space="preserve">to previously published markers and our own validation experiments.</w:t>
      </w:r>
    </w:p>
    <w:bookmarkEnd w:id="29"/>
    <w:bookmarkStart w:id="30" w:name="other-packages"/>
    <w:p>
      <w:pPr>
        <w:pStyle w:val="Heading1"/>
      </w:pPr>
      <w:r>
        <w:t xml:space="preserve">Other packages</w:t>
      </w:r>
    </w:p>
    <w:p>
      <w:pPr>
        <w:pStyle w:val="FirstParagraph"/>
      </w:pPr>
      <w:r>
        <w:t xml:space="preserve">Visualisations and figures were primarily created using the ggplot2</w:t>
      </w:r>
      <w:r>
        <w:t xml:space="preserve"> </w:t>
      </w:r>
      <w:r>
        <w:t xml:space="preserve">(v3.4.1), cowplot (v1.1.1)</w:t>
      </w:r>
      <w:r>
        <w:t xml:space="preserve"> </w:t>
      </w:r>
      <w:r>
        <w:t xml:space="preserve">(Wilke 2020)</w:t>
      </w:r>
      <w:r>
        <w:t xml:space="preserve"> </w:t>
      </w:r>
      <w:r>
        <w:t xml:space="preserve">and patchwork (v1.1.2.9000) packages using the viridis</w:t>
      </w:r>
      <w:r>
        <w:t xml:space="preserve"> </w:t>
      </w:r>
      <w:r>
        <w:t xml:space="preserve">colour palette (v0.6.2) for continuous data. UpSet plots</w:t>
      </w:r>
      <w:r>
        <w:t xml:space="preserve"> </w:t>
      </w:r>
      <w:r>
        <w:t xml:space="preserve">(Conway, Lex, and Gehlenborg 2017)</w:t>
      </w:r>
      <w:r>
        <w:t xml:space="preserve"> </w:t>
      </w:r>
      <w:r>
        <w:t xml:space="preserve">were produced using the UpSetR</w:t>
      </w:r>
      <w:r>
        <w:t xml:space="preserve"> </w:t>
      </w:r>
      <w:r>
        <w:t xml:space="preserve">package (v1.4.0)</w:t>
      </w:r>
      <w:r>
        <w:t xml:space="preserve"> </w:t>
      </w:r>
      <w:r>
        <w:t xml:space="preserve">(Gehlenborg 2019)</w:t>
      </w:r>
      <w:r>
        <w:t xml:space="preserve"> </w:t>
      </w:r>
      <w:r>
        <w:t xml:space="preserve">with help from the gridExtra</w:t>
      </w:r>
      <w:r>
        <w:t xml:space="preserve"> </w:t>
      </w:r>
      <w:r>
        <w:t xml:space="preserve">package (v2.3)</w:t>
      </w:r>
      <w:r>
        <w:t xml:space="preserve"> </w:t>
      </w:r>
      <w:r>
        <w:t xml:space="preserve">(Auguie 2017)</w:t>
      </w:r>
      <w:r>
        <w:t xml:space="preserve">. Data manipulation was</w:t>
      </w:r>
      <w:r>
        <w:t xml:space="preserve"> </w:t>
      </w:r>
      <w:r>
        <w:t xml:space="preserve">performed using other packages in the tidyverse</w:t>
      </w:r>
      <w:r>
        <w:t xml:space="preserve"> </w:t>
      </w:r>
      <w:r>
        <w:t xml:space="preserve">(v1.3.2.9000)</w:t>
      </w:r>
      <w:r>
        <w:t xml:space="preserve"> </w:t>
      </w:r>
      <w:r>
        <w:t xml:space="preserve">(Wickham 2023)</w:t>
      </w:r>
      <w:r>
        <w:t xml:space="preserve"> </w:t>
      </w:r>
      <w:r>
        <w:t xml:space="preserve">particularly dplyr</w:t>
      </w:r>
      <w:r>
        <w:t xml:space="preserve"> </w:t>
      </w:r>
      <w:r>
        <w:t xml:space="preserve">(v1.1.0)</w:t>
      </w:r>
      <w:r>
        <w:t xml:space="preserve"> </w:t>
      </w:r>
      <w:r>
        <w:t xml:space="preserve">(Wickham et al. 2023)</w:t>
      </w:r>
      <w:r>
        <w:t xml:space="preserve">, tidyr (v1.1.0)</w:t>
      </w:r>
      <w:r>
        <w:t xml:space="preserve"> </w:t>
      </w:r>
      <w:r>
        <w:t xml:space="preserve">(Wickham, Vaughan, and Girlich 2023)</w:t>
      </w:r>
      <w:r>
        <w:t xml:space="preserve"> </w:t>
      </w:r>
      <w:r>
        <w:t xml:space="preserve">and purrr (v1.0.1)</w:t>
      </w:r>
      <w:r>
        <w:t xml:space="preserve"> </w:t>
      </w:r>
      <w:r>
        <w:t xml:space="preserve">(Wickham and Henry 2023)</w:t>
      </w:r>
      <w:r>
        <w:t xml:space="preserve">. The analysis project was</w:t>
      </w:r>
      <w:r>
        <w:t xml:space="preserve"> </w:t>
      </w:r>
      <w:r>
        <w:t xml:space="preserve">managed using the Snakemake system (v )</w:t>
      </w:r>
      <w:r>
        <w:t xml:space="preserve"> </w:t>
      </w:r>
      <w:r>
        <w:t xml:space="preserve">(Mölder et al. 2021)</w:t>
      </w:r>
      <w:r>
        <w:t xml:space="preserve"> </w:t>
      </w:r>
      <w:r>
        <w:t xml:space="preserve">and the workflowr</w:t>
      </w:r>
      <w:r>
        <w:t xml:space="preserve"> </w:t>
      </w:r>
      <w:r>
        <w:t xml:space="preserve">(v1.7.0)</w:t>
      </w:r>
      <w:r>
        <w:t xml:space="preserve"> </w:t>
      </w:r>
      <w:r>
        <w:t xml:space="preserve">(Blischak, Carbonetto, and Stephens 2021)</w:t>
      </w:r>
      <w:r>
        <w:t xml:space="preserve"> </w:t>
      </w:r>
      <w:r>
        <w:t xml:space="preserve">package which was also used to</w:t>
      </w:r>
      <w:r>
        <w:t xml:space="preserve"> </w:t>
      </w:r>
      <w:r>
        <w:t xml:space="preserve">produce the publicly available website displaying the analysis code,</w:t>
      </w:r>
      <w:r>
        <w:t xml:space="preserve"> </w:t>
      </w:r>
      <w:r>
        <w:t xml:space="preserve">results and output. Reproducible reports were produced using knitr</w:t>
      </w:r>
      <w:r>
        <w:t xml:space="preserve"> </w:t>
      </w:r>
      <w:r>
        <w:t xml:space="preserve">(v1.42)</w:t>
      </w:r>
      <w:r>
        <w:t xml:space="preserve"> </w:t>
      </w:r>
      <w:r>
        <w:t xml:space="preserve">(Xie 2023)</w:t>
      </w:r>
      <w:r>
        <w:t xml:space="preserve"> </w:t>
      </w:r>
      <w:r>
        <w:t xml:space="preserve">and R Markdown</w:t>
      </w:r>
      <w:r>
        <w:t xml:space="preserve"> </w:t>
      </w:r>
      <w:r>
        <w:t xml:space="preserve">(v2.20)</w:t>
      </w:r>
      <w:r>
        <w:t xml:space="preserve"> </w:t>
      </w:r>
      <w:r>
        <w:t xml:space="preserve">(Allaire et al. 2023)</w:t>
      </w:r>
      <w:r>
        <w:t xml:space="preserve"> </w:t>
      </w:r>
      <w:r>
        <w:t xml:space="preserve">and converted to HTML using</w:t>
      </w:r>
      <w:r>
        <w:t xml:space="preserve"> </w:t>
      </w:r>
      <w:r>
        <w:t xml:space="preserve">Pandoc (v2.19.2).</w:t>
      </w:r>
    </w:p>
    <w:bookmarkEnd w:id="30"/>
    <w:bookmarkStart w:id="32" w:name="summary"/>
    <w:p>
      <w:pPr>
        <w:pStyle w:val="Heading1"/>
      </w:pPr>
      <w:r>
        <w:t xml:space="preserve">Summary</w:t>
      </w:r>
    </w:p>
    <w:bookmarkStart w:id="31" w:name="output-files"/>
    <w:p>
      <w:pPr>
        <w:pStyle w:val="Heading2"/>
      </w:pPr>
      <w:r>
        <w:t xml:space="preserve">Output files</w:t>
      </w:r>
    </w:p>
    <w:p>
      <w:pPr>
        <w:pStyle w:val="SourceCode"/>
      </w:pPr>
      <w:r>
        <w:rPr>
          <w:rStyle w:val="NormalTok"/>
        </w:rPr>
        <w:t xml:space="preserve">versions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(versions, as.character)</w:t>
      </w:r>
      <w:r>
        <w:br/>
      </w:r>
      <w:r>
        <w:rPr>
          <w:rStyle w:val="NormalTok"/>
        </w:rPr>
        <w:t xml:space="preserve">versions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jsonlite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toJSON</w:t>
      </w:r>
      <w:r>
        <w:rPr>
          <w:rStyle w:val="NormalTok"/>
        </w:rPr>
        <w:t xml:space="preserve">(versions, </w:t>
      </w:r>
      <w:r>
        <w:rPr>
          <w:rStyle w:val="AttributeTok"/>
        </w:rPr>
        <w:t xml:space="preserve">pretty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write_lines</w:t>
      </w:r>
      <w:r>
        <w:rPr>
          <w:rStyle w:val="NormalTok"/>
        </w:rPr>
        <w:t xml:space="preserve">(versions,</w:t>
      </w:r>
      <w:r>
        <w:br/>
      </w:r>
      <w:r>
        <w:rPr>
          <w:rStyle w:val="NormalTok"/>
        </w:rPr>
        <w:t xml:space="preserve">                  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DOCNAME, </w:t>
      </w:r>
      <w:r>
        <w:rPr>
          <w:rStyle w:val="StringTok"/>
        </w:rPr>
        <w:t xml:space="preserve">"package-versions.json"</w:t>
      </w:r>
      <w:r>
        <w:rPr>
          <w:rStyle w:val="NormalTok"/>
        </w:rPr>
        <w:t xml:space="preserve">))</w:t>
      </w:r>
    </w:p>
    <w:bookmarkEnd w:id="31"/>
    <w:bookmarkEnd w:id="32"/>
    <w:bookmarkStart w:id="80" w:name="references"/>
    <w:p>
      <w:pPr>
        <w:pStyle w:val="Heading1"/>
      </w:pPr>
      <w:r>
        <w:t xml:space="preserve">References</w:t>
      </w:r>
    </w:p>
    <w:bookmarkStart w:id="79" w:name="refs"/>
    <w:bookmarkStart w:id="33" w:name="ref-R-rmarkdown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2023.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</w:p>
    <w:bookmarkEnd w:id="33"/>
    <w:bookmarkStart w:id="34" w:name="ref-R-gridExtra"/>
    <w:p>
      <w:pPr>
        <w:pStyle w:val="Bibliography"/>
      </w:pPr>
      <w:r>
        <w:t xml:space="preserve">Auguie, Baptiste. 2017.</w:t>
      </w:r>
      <w:r>
        <w:t xml:space="preserve"> </w:t>
      </w:r>
      <w:r>
        <w:rPr>
          <w:iCs/>
          <w:i/>
        </w:rPr>
        <w:t xml:space="preserve">gridExtra: Miscellaneous Functions for "Grid" Graphics</w:t>
      </w:r>
      <w:r>
        <w:t xml:space="preserve">.</w:t>
      </w:r>
    </w:p>
    <w:bookmarkEnd w:id="34"/>
    <w:bookmarkStart w:id="36" w:name="ref-R-workflowr"/>
    <w:p>
      <w:pPr>
        <w:pStyle w:val="Bibliography"/>
      </w:pPr>
      <w:r>
        <w:t xml:space="preserve">Blischak, John, Peter Carbonetto, and Matthew Stephens. 2021.</w:t>
      </w:r>
      <w:r>
        <w:t xml:space="preserve"> </w:t>
      </w:r>
      <w:r>
        <w:rPr>
          <w:iCs/>
          <w:i/>
        </w:rPr>
        <w:t xml:space="preserve">Workflowr: A Framework for Reproducible and Collaborative Data Science</w:t>
      </w:r>
      <w:r>
        <w:t xml:space="preserve">.</w:t>
      </w:r>
      <w:r>
        <w:t xml:space="preserve"> </w:t>
      </w:r>
      <w:hyperlink r:id="rId35">
        <w:r>
          <w:rPr>
            <w:rStyle w:val="Hyperlink"/>
          </w:rPr>
          <w:t xml:space="preserve">https://github.com/workflowr/workflowr</w:t>
        </w:r>
      </w:hyperlink>
      <w:r>
        <w:t xml:space="preserve">.</w:t>
      </w:r>
    </w:p>
    <w:bookmarkEnd w:id="36"/>
    <w:bookmarkStart w:id="38" w:name="X8fa5457429453e42308807f57478f8506b60c33"/>
    <w:p>
      <w:pPr>
        <w:pStyle w:val="Bibliography"/>
      </w:pPr>
      <w:r>
        <w:t xml:space="preserve">Chung, Neo Christopher, and John D. Storey. 2015.</w:t>
      </w:r>
      <w:r>
        <w:t xml:space="preserve"> </w:t>
      </w:r>
      <w:r>
        <w:t xml:space="preserve">“Statistical significance of variables driving systematic variation in high-dimensional data.”</w:t>
      </w:r>
      <w:r>
        <w:t xml:space="preserve"> </w:t>
      </w:r>
      <w:r>
        <w:rPr>
          <w:iCs/>
          <w:i/>
        </w:rPr>
        <w:t xml:space="preserve">Bioinformatics (Oxford, England)</w:t>
      </w:r>
      <w:r>
        <w:t xml:space="preserve"> </w:t>
      </w:r>
      <w:r>
        <w:t xml:space="preserve">31 (4): 545–54.</w:t>
      </w:r>
      <w:r>
        <w:t xml:space="preserve"> </w:t>
      </w:r>
      <w:hyperlink r:id="rId37">
        <w:r>
          <w:rPr>
            <w:rStyle w:val="Hyperlink"/>
          </w:rPr>
          <w:t xml:space="preserve">https://doi.org/10.1093/bioinformatics/btu674</w:t>
        </w:r>
      </w:hyperlink>
      <w:r>
        <w:t xml:space="preserve">.</w:t>
      </w:r>
    </w:p>
    <w:bookmarkEnd w:id="38"/>
    <w:bookmarkStart w:id="40" w:name="ref-conwayUpSetRPackageVisualization2017"/>
    <w:p>
      <w:pPr>
        <w:pStyle w:val="Bibliography"/>
      </w:pPr>
      <w:r>
        <w:t xml:space="preserve">Conway, Jake R, Alexander Lex, and Nils Gehlenborg. 2017.</w:t>
      </w:r>
      <w:r>
        <w:t xml:space="preserve"> </w:t>
      </w:r>
      <w:r>
        <w:t xml:space="preserve">“UpSetR: An R Package for the Visualization of Intersecting Sets and Their Properties.”</w:t>
      </w:r>
      <w:r>
        <w:t xml:space="preserve"> </w:t>
      </w:r>
      <w:r>
        <w:t xml:space="preserve">Edited by John Hancock.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t xml:space="preserve">33 (18): 2938–40.</w:t>
      </w:r>
      <w:r>
        <w:t xml:space="preserve"> </w:t>
      </w:r>
      <w:hyperlink r:id="rId39">
        <w:r>
          <w:rPr>
            <w:rStyle w:val="Hyperlink"/>
          </w:rPr>
          <w:t xml:space="preserve">https://doi.org/10.1093/bioinformatics/btx364</w:t>
        </w:r>
      </w:hyperlink>
      <w:r>
        <w:t xml:space="preserve">.</w:t>
      </w:r>
    </w:p>
    <w:bookmarkEnd w:id="40"/>
    <w:bookmarkStart w:id="42" w:name="ref-fleming2022"/>
    <w:p>
      <w:pPr>
        <w:pStyle w:val="Bibliography"/>
      </w:pPr>
      <w:r>
        <w:t xml:space="preserve">Fleming, Stephen J., Mark D. Chaffin, Alessandro Arduini, Amer-Denis Akkad, Eric Banks, John C. Marioni, Anthony A. Philippakis, Patrick T. Ellinor, and Mehrtash Babadi. 2022.</w:t>
      </w:r>
      <w:r>
        <w:t xml:space="preserve"> </w:t>
      </w:r>
      <w:r>
        <w:t xml:space="preserve">“Unsupervised Removal of Systematic Background Noise from Droplet-Based Single-Cell Experiments Using CellBender,”</w:t>
      </w:r>
      <w:r>
        <w:t xml:space="preserve"> </w:t>
      </w:r>
      <w:r>
        <w:t xml:space="preserve">July.</w:t>
      </w:r>
      <w:r>
        <w:t xml:space="preserve"> </w:t>
      </w:r>
      <w:hyperlink r:id="rId41">
        <w:r>
          <w:rPr>
            <w:rStyle w:val="Hyperlink"/>
          </w:rPr>
          <w:t xml:space="preserve">https://doi.org/10.1101/791699</w:t>
        </w:r>
      </w:hyperlink>
      <w:r>
        <w:t xml:space="preserve">.</w:t>
      </w:r>
    </w:p>
    <w:bookmarkEnd w:id="42"/>
    <w:bookmarkStart w:id="44" w:name="ref-R-UpSetR"/>
    <w:p>
      <w:pPr>
        <w:pStyle w:val="Bibliography"/>
      </w:pPr>
      <w:r>
        <w:t xml:space="preserve">Gehlenborg, Nils. 2019.</w:t>
      </w:r>
      <w:r>
        <w:t xml:space="preserve"> </w:t>
      </w:r>
      <w:r>
        <w:rPr>
          <w:iCs/>
          <w:i/>
        </w:rPr>
        <w:t xml:space="preserve">UpSetR: A More Scalable Alternative to Venn and Euler Diagrams for Visualizing Intersecting Sets</w:t>
      </w:r>
      <w:r>
        <w:t xml:space="preserve">.</w:t>
      </w:r>
      <w:r>
        <w:t xml:space="preserve"> </w:t>
      </w:r>
      <w:hyperlink r:id="rId43">
        <w:r>
          <w:rPr>
            <w:rStyle w:val="Hyperlink"/>
          </w:rPr>
          <w:t xml:space="preserve">http://github.com/hms-dbmi/UpSetR</w:t>
        </w:r>
      </w:hyperlink>
      <w:r>
        <w:t xml:space="preserve">.</w:t>
      </w:r>
    </w:p>
    <w:bookmarkEnd w:id="44"/>
    <w:bookmarkStart w:id="46" w:name="ref-hafemeister2019"/>
    <w:p>
      <w:pPr>
        <w:pStyle w:val="Bibliography"/>
      </w:pPr>
      <w:r>
        <w:t xml:space="preserve">Hafemeister, Christoph, and Rahul Satija. 2019.</w:t>
      </w:r>
      <w:r>
        <w:t xml:space="preserve"> </w:t>
      </w:r>
      <w:r>
        <w:t xml:space="preserve">“Normalization and Variance Stabilization of Single-Cell RNA-Seq Data Using Regularized Negative Binomial Regression.”</w:t>
      </w:r>
      <w:r>
        <w:t xml:space="preserve"> </w:t>
      </w:r>
      <w:r>
        <w:rPr>
          <w:iCs/>
          <w:i/>
        </w:rPr>
        <w:t xml:space="preserve">Genome Biology</w:t>
      </w:r>
      <w:r>
        <w:t xml:space="preserve"> </w:t>
      </w:r>
      <w:r>
        <w:t xml:space="preserve">20 (1): 296.</w:t>
      </w:r>
      <w:r>
        <w:t xml:space="preserve"> </w:t>
      </w:r>
      <w:hyperlink r:id="rId45">
        <w:r>
          <w:rPr>
            <w:rStyle w:val="Hyperlink"/>
          </w:rPr>
          <w:t xml:space="preserve">https://doi.org/10.1186/s13059-019-1874-1</w:t>
        </w:r>
      </w:hyperlink>
      <w:r>
        <w:t xml:space="preserve">.</w:t>
      </w:r>
    </w:p>
    <w:bookmarkEnd w:id="46"/>
    <w:bookmarkStart w:id="48" w:name="ref-heatonSouporcellRobustClustering2020"/>
    <w:p>
      <w:pPr>
        <w:pStyle w:val="Bibliography"/>
      </w:pPr>
      <w:r>
        <w:t xml:space="preserve">Heaton, Haynes, Arthur M. Talman, Andrew Knights, Maria Imaz, Daniel J. Gaffney, Richard Durbin, Martin Hemberg, and Mara K. N. Lawniczak. 2020.</w:t>
      </w:r>
      <w:r>
        <w:t xml:space="preserve"> </w:t>
      </w:r>
      <w:r>
        <w:t xml:space="preserve">“Souporcell: robust clustering of single-cell RNA-seq data by genotype without reference genotypes.”</w:t>
      </w:r>
      <w:r>
        <w:t xml:space="preserve"> </w:t>
      </w:r>
      <w:r>
        <w:rPr>
          <w:iCs/>
          <w:i/>
        </w:rPr>
        <w:t xml:space="preserve">Nature methods</w:t>
      </w:r>
      <w:r>
        <w:t xml:space="preserve"> </w:t>
      </w:r>
      <w:r>
        <w:t xml:space="preserve">17 (6): 615–20.</w:t>
      </w:r>
      <w:r>
        <w:t xml:space="preserve"> </w:t>
      </w:r>
      <w:hyperlink r:id="rId47">
        <w:r>
          <w:rPr>
            <w:rStyle w:val="Hyperlink"/>
          </w:rPr>
          <w:t xml:space="preserve">https://doi.org/10.1038/s41592-020-0820-1</w:t>
        </w:r>
      </w:hyperlink>
      <w:r>
        <w:t xml:space="preserve">.</w:t>
      </w:r>
    </w:p>
    <w:bookmarkEnd w:id="48"/>
    <w:bookmarkStart w:id="50" w:name="ref-lunEmptyDropsDistinguishingCells2019"/>
    <w:p>
      <w:pPr>
        <w:pStyle w:val="Bibliography"/>
      </w:pPr>
      <w:r>
        <w:t xml:space="preserve">Lun, Aaron T. L., Samantha Riesenfeld, Tallulah Andrews, The Phuong Dao, Tomas Gomes, and John C. Marioni. 2019.</w:t>
      </w:r>
      <w:r>
        <w:t xml:space="preserve"> </w:t>
      </w:r>
      <w:r>
        <w:t xml:space="preserve">“EmptyDrops: distinguishing cells from empty droplets in droplet-based single-cell RNA sequencing data.”</w:t>
      </w:r>
      <w:r>
        <w:t xml:space="preserve"> </w:t>
      </w:r>
      <w:r>
        <w:rPr>
          <w:iCs/>
          <w:i/>
        </w:rPr>
        <w:t xml:space="preserve">Genome biology</w:t>
      </w:r>
      <w:r>
        <w:t xml:space="preserve"> </w:t>
      </w:r>
      <w:r>
        <w:t xml:space="preserve">20 (1): 63.</w:t>
      </w:r>
      <w:r>
        <w:t xml:space="preserve"> </w:t>
      </w:r>
      <w:hyperlink r:id="rId49">
        <w:r>
          <w:rPr>
            <w:rStyle w:val="Hyperlink"/>
          </w:rPr>
          <w:t xml:space="preserve">https://doi.org/10.1186/s13059-019-1662-y</w:t>
        </w:r>
      </w:hyperlink>
      <w:r>
        <w:t xml:space="preserve">.</w:t>
      </w:r>
    </w:p>
    <w:bookmarkEnd w:id="50"/>
    <w:bookmarkStart w:id="52" w:name="ref-molderSustainableDataAnalysis2021"/>
    <w:p>
      <w:pPr>
        <w:pStyle w:val="Bibliography"/>
      </w:pPr>
      <w:r>
        <w:t xml:space="preserve">Mölder, Felix, Kim Philipp Jablonski, Brice Letcher, Michael B. Hall, Christopher H. Tomkins-Tinch, Vanessa Sochat, Jan Forster, et al. 2021.</w:t>
      </w:r>
      <w:r>
        <w:t xml:space="preserve"> </w:t>
      </w:r>
      <w:r>
        <w:t xml:space="preserve">“Sustainable Data Analysis with Snakemake.”</w:t>
      </w:r>
      <w:r>
        <w:t xml:space="preserve"> </w:t>
      </w:r>
      <w:r>
        <w:rPr>
          <w:iCs/>
          <w:i/>
        </w:rPr>
        <w:t xml:space="preserve">F1000Research</w:t>
      </w:r>
      <w:r>
        <w:t xml:space="preserve"> </w:t>
      </w:r>
      <w:r>
        <w:t xml:space="preserve">10 (January): 33.</w:t>
      </w:r>
      <w:r>
        <w:t xml:space="preserve"> </w:t>
      </w:r>
      <w:hyperlink r:id="rId51">
        <w:r>
          <w:rPr>
            <w:rStyle w:val="Hyperlink"/>
          </w:rPr>
          <w:t xml:space="preserve">https://doi.org/gjjkwv</w:t>
        </w:r>
      </w:hyperlink>
      <w:r>
        <w:t xml:space="preserve">.</w:t>
      </w:r>
    </w:p>
    <w:bookmarkEnd w:id="52"/>
    <w:bookmarkStart w:id="54" w:name="ref-ntranos2019"/>
    <w:p>
      <w:pPr>
        <w:pStyle w:val="Bibliography"/>
      </w:pPr>
      <w:r>
        <w:t xml:space="preserve">Ntranos, Vasilis, Lynn Yi, Páll Melsted, and Lior Pachter. 2019.</w:t>
      </w:r>
      <w:r>
        <w:t xml:space="preserve"> </w:t>
      </w:r>
      <w:r>
        <w:t xml:space="preserve">“A Discriminative Learning Approach to Differential Expression Analysis for Single-Cell RNA-Seq.”</w:t>
      </w:r>
      <w:r>
        <w:t xml:space="preserve"> </w:t>
      </w:r>
      <w:r>
        <w:rPr>
          <w:iCs/>
          <w:i/>
        </w:rPr>
        <w:t xml:space="preserve">Nature Methods</w:t>
      </w:r>
      <w:r>
        <w:t xml:space="preserve"> </w:t>
      </w:r>
      <w:r>
        <w:t xml:space="preserve">16 (2): 163–66.</w:t>
      </w:r>
      <w:r>
        <w:t xml:space="preserve"> </w:t>
      </w:r>
      <w:hyperlink r:id="rId53">
        <w:r>
          <w:rPr>
            <w:rStyle w:val="Hyperlink"/>
          </w:rPr>
          <w:t xml:space="preserve">https://doi.org/gftsnv</w:t>
        </w:r>
      </w:hyperlink>
      <w:r>
        <w:t xml:space="preserve">.</w:t>
      </w:r>
    </w:p>
    <w:bookmarkEnd w:id="54"/>
    <w:bookmarkStart w:id="56" w:name="ref-pengCellTypeHierarchy2021"/>
    <w:p>
      <w:pPr>
        <w:pStyle w:val="Bibliography"/>
      </w:pPr>
      <w:r>
        <w:t xml:space="preserve">Peng, Minshi, Brie Wamsley, Andrew G. Elkins, Daniel H. Geschwind, Yuting Wei, and Kathryn Roeder. 2021.</w:t>
      </w:r>
      <w:r>
        <w:t xml:space="preserve"> </w:t>
      </w:r>
      <w:r>
        <w:t xml:space="preserve">“Cell type hierarchy reconstruction via reconciliation of multi-resolution cluster tree.”</w:t>
      </w:r>
      <w:r>
        <w:t xml:space="preserve"> </w:t>
      </w:r>
      <w:r>
        <w:rPr>
          <w:iCs/>
          <w:i/>
        </w:rPr>
        <w:t xml:space="preserve">Nucleic acids research</w:t>
      </w:r>
      <w:r>
        <w:t xml:space="preserve"> </w:t>
      </w:r>
      <w:r>
        <w:t xml:space="preserve">49 (16): e91.</w:t>
      </w:r>
      <w:r>
        <w:t xml:space="preserve"> </w:t>
      </w:r>
      <w:hyperlink r:id="rId55">
        <w:r>
          <w:rPr>
            <w:rStyle w:val="Hyperlink"/>
          </w:rPr>
          <w:t xml:space="preserve">https://doi.org/10.1093/nar/gkab481</w:t>
        </w:r>
      </w:hyperlink>
      <w:r>
        <w:t xml:space="preserve">.</w:t>
      </w:r>
    </w:p>
    <w:bookmarkEnd w:id="56"/>
    <w:bookmarkStart w:id="58" w:name="ref-poolEnhancedRecoverySinglecell2022"/>
    <w:p>
      <w:pPr>
        <w:pStyle w:val="Bibliography"/>
      </w:pPr>
      <w:r>
        <w:t xml:space="preserve">Pool, Allan-Hermann, Helen Poldsam, Sisi Chen, Matt Thomson, and Yuki Oka. 2022.</w:t>
      </w:r>
      <w:r>
        <w:t xml:space="preserve"> </w:t>
      </w:r>
      <w:r>
        <w:t xml:space="preserve">“Enhanced Recovery of Single-Cell RNA-Sequencing Reads for Missing Gene Expression Data,”</w:t>
      </w:r>
      <w:r>
        <w:t xml:space="preserve"> </w:t>
      </w:r>
      <w:r>
        <w:t xml:space="preserve">April.</w:t>
      </w:r>
      <w:r>
        <w:t xml:space="preserve"> </w:t>
      </w:r>
      <w:hyperlink r:id="rId57">
        <w:r>
          <w:rPr>
            <w:rStyle w:val="Hyperlink"/>
          </w:rPr>
          <w:t xml:space="preserve">https://doi.org/10.1101/2022.04.26.489449</w:t>
        </w:r>
      </w:hyperlink>
      <w:r>
        <w:t xml:space="preserve">.</w:t>
      </w:r>
    </w:p>
    <w:bookmarkEnd w:id="58"/>
    <w:bookmarkStart w:id="60" w:name="ref-reimandProfileraWebServer2016"/>
    <w:p>
      <w:pPr>
        <w:pStyle w:val="Bibliography"/>
      </w:pPr>
      <w:r>
        <w:t xml:space="preserve">Reimand, Jüri, Tambet Arak, Priit Adler, Liis Kolberg, Sulev Reisberg, Hedi Peterson, and Jaak Vilo. 2016.</w:t>
      </w:r>
      <w:r>
        <w:t xml:space="preserve"> </w:t>
      </w:r>
      <w:r>
        <w:t xml:space="preserve">“g:Profiler-a web server for functional interpretation of gene lists (2016 update).”</w:t>
      </w:r>
      <w:r>
        <w:t xml:space="preserve"> </w:t>
      </w:r>
      <w:r>
        <w:rPr>
          <w:iCs/>
          <w:i/>
        </w:rPr>
        <w:t xml:space="preserve">Nucleic acids research</w:t>
      </w:r>
      <w:r>
        <w:t xml:space="preserve"> </w:t>
      </w:r>
      <w:r>
        <w:t xml:space="preserve">44 (W1): W83–89.</w:t>
      </w:r>
      <w:r>
        <w:t xml:space="preserve"> </w:t>
      </w:r>
      <w:hyperlink r:id="rId59">
        <w:r>
          <w:rPr>
            <w:rStyle w:val="Hyperlink"/>
          </w:rPr>
          <w:t xml:space="preserve">https://doi.org/10.1093/nar/gkw199</w:t>
        </w:r>
      </w:hyperlink>
      <w:r>
        <w:t xml:space="preserve">.</w:t>
      </w:r>
    </w:p>
    <w:bookmarkEnd w:id="60"/>
    <w:bookmarkStart w:id="62" w:name="X17884896ccd5b547c7d729dbdeed9a8f74d80cc"/>
    <w:p>
      <w:pPr>
        <w:pStyle w:val="Bibliography"/>
      </w:pPr>
      <w:r>
        <w:t xml:space="preserve">Satija, Rahul, Jeffrey A. Farrell, David Gennert, Alexander F. Schier, and Aviv Regev. 2015.</w:t>
      </w:r>
      <w:r>
        <w:t xml:space="preserve"> </w:t>
      </w:r>
      <w:r>
        <w:t xml:space="preserve">“Spatial reconstruction of single-cell gene expression data.”</w:t>
      </w:r>
      <w:r>
        <w:t xml:space="preserve"> </w:t>
      </w:r>
      <w:r>
        <w:rPr>
          <w:iCs/>
          <w:i/>
        </w:rPr>
        <w:t xml:space="preserve">Nature biotechnology</w:t>
      </w:r>
      <w:r>
        <w:t xml:space="preserve"> </w:t>
      </w:r>
      <w:r>
        <w:t xml:space="preserve">33 (5): 495–502.</w:t>
      </w:r>
      <w:r>
        <w:t xml:space="preserve"> </w:t>
      </w:r>
      <w:hyperlink r:id="rId61">
        <w:r>
          <w:rPr>
            <w:rStyle w:val="Hyperlink"/>
          </w:rPr>
          <w:t xml:space="preserve">https://doi.org/10.1038/nbt.3192</w:t>
        </w:r>
      </w:hyperlink>
      <w:r>
        <w:t xml:space="preserve">.</w:t>
      </w:r>
    </w:p>
    <w:bookmarkEnd w:id="62"/>
    <w:bookmarkStart w:id="64" w:name="Xf48d98b393914e77035ad293bf233061a8995a5"/>
    <w:p>
      <w:pPr>
        <w:pStyle w:val="Bibliography"/>
      </w:pPr>
      <w:r>
        <w:t xml:space="preserve">Stuart, Tim, and Rahul Satija. 2019.</w:t>
      </w:r>
      <w:r>
        <w:t xml:space="preserve"> </w:t>
      </w:r>
      <w:r>
        <w:t xml:space="preserve">“Integrative single-cell analysis.”</w:t>
      </w:r>
      <w:r>
        <w:t xml:space="preserve"> </w:t>
      </w:r>
      <w:r>
        <w:rPr>
          <w:iCs/>
          <w:i/>
        </w:rPr>
        <w:t xml:space="preserve">Nature reviews. Genetics</w:t>
      </w:r>
      <w:r>
        <w:t xml:space="preserve"> </w:t>
      </w:r>
      <w:r>
        <w:t xml:space="preserve">20 (5): 257–72.</w:t>
      </w:r>
      <w:r>
        <w:t xml:space="preserve"> </w:t>
      </w:r>
      <w:hyperlink r:id="rId63">
        <w:r>
          <w:rPr>
            <w:rStyle w:val="Hyperlink"/>
          </w:rPr>
          <w:t xml:space="preserve">https://doi.org/10.1038/s41576-019-0093-7</w:t>
        </w:r>
      </w:hyperlink>
      <w:r>
        <w:t xml:space="preserve">.</w:t>
      </w:r>
    </w:p>
    <w:bookmarkEnd w:id="64"/>
    <w:bookmarkStart w:id="66" w:name="ref-traag2019"/>
    <w:p>
      <w:pPr>
        <w:pStyle w:val="Bibliography"/>
      </w:pPr>
      <w:r>
        <w:t xml:space="preserve">Traag, V. A., L. Waltman, and N. J. van Eck. 2019.</w:t>
      </w:r>
      <w:r>
        <w:t xml:space="preserve"> </w:t>
      </w:r>
      <w:r>
        <w:t xml:space="preserve">“From Louvain to Leiden: Guaranteeing Well-Connected Communities.”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t xml:space="preserve">9 (1): 5233.</w:t>
      </w:r>
      <w:r>
        <w:t xml:space="preserve"> </w:t>
      </w:r>
      <w:hyperlink r:id="rId65">
        <w:r>
          <w:rPr>
            <w:rStyle w:val="Hyperlink"/>
          </w:rPr>
          <w:t xml:space="preserve">https://doi.org/10.1038/s41598-019-41695-z</w:t>
        </w:r>
      </w:hyperlink>
      <w:r>
        <w:t xml:space="preserve">.</w:t>
      </w:r>
    </w:p>
    <w:bookmarkEnd w:id="66"/>
    <w:bookmarkStart w:id="67" w:name="ref-R-tidyverse"/>
    <w:p>
      <w:pPr>
        <w:pStyle w:val="Bibliography"/>
      </w:pPr>
      <w:r>
        <w:t xml:space="preserve">Wickham, Hadley. 2023.</w:t>
      </w:r>
      <w:r>
        <w:t xml:space="preserve"> </w:t>
      </w:r>
      <w:r>
        <w:rPr>
          <w:iCs/>
          <w:i/>
        </w:rPr>
        <w:t xml:space="preserve">Tidyverse: Easily Install and Load the Tidyverse</w:t>
      </w:r>
      <w:r>
        <w:t xml:space="preserve">.</w:t>
      </w:r>
    </w:p>
    <w:bookmarkEnd w:id="67"/>
    <w:bookmarkStart w:id="68" w:name="ref-R-dplyr"/>
    <w:p>
      <w:pPr>
        <w:pStyle w:val="Bibliography"/>
      </w:pPr>
      <w:r>
        <w:t xml:space="preserve">Wickham, Hadley, Romain François, Lionel Henry, Kirill Müller, and Davis Vaughan. 2023.</w:t>
      </w:r>
      <w:r>
        <w:t xml:space="preserve"> </w:t>
      </w:r>
      <w:r>
        <w:rPr>
          <w:iCs/>
          <w:i/>
        </w:rPr>
        <w:t xml:space="preserve">Dplyr: A Grammar of Data Manipulation</w:t>
      </w:r>
      <w:r>
        <w:t xml:space="preserve">.</w:t>
      </w:r>
    </w:p>
    <w:bookmarkEnd w:id="68"/>
    <w:bookmarkStart w:id="69" w:name="ref-R-purrr"/>
    <w:p>
      <w:pPr>
        <w:pStyle w:val="Bibliography"/>
      </w:pPr>
      <w:r>
        <w:t xml:space="preserve">Wickham, Hadley, and Lionel Henry. 2023.</w:t>
      </w:r>
      <w:r>
        <w:t xml:space="preserve"> </w:t>
      </w:r>
      <w:r>
        <w:rPr>
          <w:iCs/>
          <w:i/>
        </w:rPr>
        <w:t xml:space="preserve">Purrr: Functional Programming Tools</w:t>
      </w:r>
      <w:r>
        <w:t xml:space="preserve">.</w:t>
      </w:r>
    </w:p>
    <w:bookmarkEnd w:id="69"/>
    <w:bookmarkStart w:id="70" w:name="ref-R-tidyr"/>
    <w:p>
      <w:pPr>
        <w:pStyle w:val="Bibliography"/>
      </w:pPr>
      <w:r>
        <w:t xml:space="preserve">Wickham, Hadley, Davis Vaughan, and Maximilian Girlich. 2023.</w:t>
      </w:r>
      <w:r>
        <w:t xml:space="preserve"> </w:t>
      </w:r>
      <w:r>
        <w:rPr>
          <w:iCs/>
          <w:i/>
        </w:rPr>
        <w:t xml:space="preserve">Tidyr: Tidy Messy Data</w:t>
      </w:r>
      <w:r>
        <w:t xml:space="preserve">.</w:t>
      </w:r>
    </w:p>
    <w:bookmarkEnd w:id="70"/>
    <w:bookmarkStart w:id="72" w:name="ref-R-cowplot"/>
    <w:p>
      <w:pPr>
        <w:pStyle w:val="Bibliography"/>
      </w:pPr>
      <w:r>
        <w:t xml:space="preserve">Wilke, Claus O. 2020.</w:t>
      </w:r>
      <w:r>
        <w:t xml:space="preserve"> </w:t>
      </w:r>
      <w:r>
        <w:rPr>
          <w:iCs/>
          <w:i/>
        </w:rPr>
        <w:t xml:space="preserve">Cowplot: Streamlined Plot Theme and Plot Annotations for Ggplot2</w:t>
      </w:r>
      <w:r>
        <w:t xml:space="preserve">.</w:t>
      </w:r>
      <w:r>
        <w:t xml:space="preserve"> </w:t>
      </w:r>
      <w:hyperlink r:id="rId71">
        <w:r>
          <w:rPr>
            <w:rStyle w:val="Hyperlink"/>
          </w:rPr>
          <w:t xml:space="preserve">https://wilkelab.org/cowplot/</w:t>
        </w:r>
      </w:hyperlink>
      <w:r>
        <w:t xml:space="preserve">.</w:t>
      </w:r>
    </w:p>
    <w:bookmarkEnd w:id="72"/>
    <w:bookmarkStart w:id="74" w:name="ref-R-knitr"/>
    <w:p>
      <w:pPr>
        <w:pStyle w:val="Bibliography"/>
      </w:pPr>
      <w:r>
        <w:t xml:space="preserve">Xie, Yihui. 2023.</w:t>
      </w:r>
      <w:r>
        <w:t xml:space="preserve"> </w:t>
      </w:r>
      <w:r>
        <w:rPr>
          <w:iCs/>
          <w:i/>
        </w:rPr>
        <w:t xml:space="preserve">Knitr: A General-Purpose Package for Dynamic Report Generation in r</w:t>
      </w:r>
      <w:r>
        <w:t xml:space="preserve">.</w:t>
      </w:r>
      <w:r>
        <w:t xml:space="preserve"> </w:t>
      </w:r>
      <w:hyperlink r:id="rId73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End w:id="74"/>
    <w:bookmarkStart w:id="76" w:name="X6cbd5f9e825f0efb41bc603bae5af0aa4d96cb0"/>
    <w:p>
      <w:pPr>
        <w:pStyle w:val="Bibliography"/>
      </w:pPr>
      <w:r>
        <w:t xml:space="preserve">Zappia, Luke, and Alicia Oshlack. 2018.</w:t>
      </w:r>
      <w:r>
        <w:t xml:space="preserve"> </w:t>
      </w:r>
      <w:r>
        <w:t xml:space="preserve">“Clustering Trees: A Visualization for Evaluating Clusterings at Multiple Resolutions.”</w:t>
      </w:r>
      <w:r>
        <w:t xml:space="preserve"> </w:t>
      </w:r>
      <w:r>
        <w:rPr>
          <w:iCs/>
          <w:i/>
        </w:rPr>
        <w:t xml:space="preserve">GigaScience</w:t>
      </w:r>
      <w:r>
        <w:t xml:space="preserve"> </w:t>
      </w:r>
      <w:r>
        <w:t xml:space="preserve">7 (7): giy083.</w:t>
      </w:r>
      <w:r>
        <w:t xml:space="preserve"> </w:t>
      </w:r>
      <w:hyperlink r:id="rId75">
        <w:r>
          <w:rPr>
            <w:rStyle w:val="Hyperlink"/>
          </w:rPr>
          <w:t xml:space="preserve">https://doi.org/10.1093/gigascience/giy083</w:t>
        </w:r>
      </w:hyperlink>
      <w:r>
        <w:t xml:space="preserve">.</w:t>
      </w:r>
    </w:p>
    <w:bookmarkEnd w:id="76"/>
    <w:bookmarkStart w:id="78" w:name="ref-zhengMassivelyParallelDigital2017"/>
    <w:p>
      <w:pPr>
        <w:pStyle w:val="Bibliography"/>
      </w:pPr>
      <w:r>
        <w:t xml:space="preserve">Zheng, Grace X. Y., Jessica M. Terry, Phillip Belgrader, Paul Ryvkin, Zachary W. Bent, Ryan Wilson, Solongo B. Ziraldo, et al. 2017.</w:t>
      </w:r>
      <w:r>
        <w:t xml:space="preserve"> </w:t>
      </w:r>
      <w:r>
        <w:t xml:space="preserve">“Massively parallel digital transcriptional profiling of single cells.”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t xml:space="preserve">8 (January): 14049.</w:t>
      </w:r>
      <w:r>
        <w:t xml:space="preserve"> </w:t>
      </w:r>
      <w:hyperlink r:id="rId77">
        <w:r>
          <w:rPr>
            <w:rStyle w:val="Hyperlink"/>
          </w:rPr>
          <w:t xml:space="preserve">https://doi.org/10.1038/ncomms14049</w:t>
        </w:r>
      </w:hyperlink>
      <w:r>
        <w:t xml:space="preserve">.</w:t>
      </w:r>
    </w:p>
    <w:bookmarkEnd w:id="78"/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://github.com/hms-dbmi/UpSetR" TargetMode="External" /><Relationship Type="http://schemas.openxmlformats.org/officeDocument/2006/relationships/hyperlink" Id="rId61" Target="https://doi.org/10.1038/nbt.3192" TargetMode="External" /><Relationship Type="http://schemas.openxmlformats.org/officeDocument/2006/relationships/hyperlink" Id="rId77" Target="https://doi.org/10.1038/ncomms14049" TargetMode="External" /><Relationship Type="http://schemas.openxmlformats.org/officeDocument/2006/relationships/hyperlink" Id="rId63" Target="https://doi.org/10.1038/s41576-019-0093-7" TargetMode="External" /><Relationship Type="http://schemas.openxmlformats.org/officeDocument/2006/relationships/hyperlink" Id="rId47" Target="https://doi.org/10.1038/s41592-020-0820-1" TargetMode="External" /><Relationship Type="http://schemas.openxmlformats.org/officeDocument/2006/relationships/hyperlink" Id="rId65" Target="https://doi.org/10.1038/s41598-019-41695-z" TargetMode="External" /><Relationship Type="http://schemas.openxmlformats.org/officeDocument/2006/relationships/hyperlink" Id="rId37" Target="https://doi.org/10.1093/bioinformatics/btu674" TargetMode="External" /><Relationship Type="http://schemas.openxmlformats.org/officeDocument/2006/relationships/hyperlink" Id="rId39" Target="https://doi.org/10.1093/bioinformatics/btx364" TargetMode="External" /><Relationship Type="http://schemas.openxmlformats.org/officeDocument/2006/relationships/hyperlink" Id="rId75" Target="https://doi.org/10.1093/gigascience/giy083" TargetMode="External" /><Relationship Type="http://schemas.openxmlformats.org/officeDocument/2006/relationships/hyperlink" Id="rId55" Target="https://doi.org/10.1093/nar/gkab481" TargetMode="External" /><Relationship Type="http://schemas.openxmlformats.org/officeDocument/2006/relationships/hyperlink" Id="rId59" Target="https://doi.org/10.1093/nar/gkw199" TargetMode="External" /><Relationship Type="http://schemas.openxmlformats.org/officeDocument/2006/relationships/hyperlink" Id="rId57" Target="https://doi.org/10.1101/2022.04.26.489449" TargetMode="External" /><Relationship Type="http://schemas.openxmlformats.org/officeDocument/2006/relationships/hyperlink" Id="rId41" Target="https://doi.org/10.1101/791699" TargetMode="External" /><Relationship Type="http://schemas.openxmlformats.org/officeDocument/2006/relationships/hyperlink" Id="rId49" Target="https://doi.org/10.1186/s13059-019-1662-y" TargetMode="External" /><Relationship Type="http://schemas.openxmlformats.org/officeDocument/2006/relationships/hyperlink" Id="rId45" Target="https://doi.org/10.1186/s13059-019-1874-1" TargetMode="External" /><Relationship Type="http://schemas.openxmlformats.org/officeDocument/2006/relationships/hyperlink" Id="rId53" Target="https://doi.org/gftsnv" TargetMode="External" /><Relationship Type="http://schemas.openxmlformats.org/officeDocument/2006/relationships/hyperlink" Id="rId51" Target="https://doi.org/gjjkwv" TargetMode="External" /><Relationship Type="http://schemas.openxmlformats.org/officeDocument/2006/relationships/hyperlink" Id="rId35" Target="https://github.com/workflowr/workflowr" TargetMode="External" /><Relationship Type="http://schemas.openxmlformats.org/officeDocument/2006/relationships/hyperlink" Id="rId71" Target="https://wilkelab.org/cowplot/" TargetMode="External" /><Relationship Type="http://schemas.openxmlformats.org/officeDocument/2006/relationships/hyperlink" Id="rId73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://github.com/hms-dbmi/UpSetR" TargetMode="External" /><Relationship Type="http://schemas.openxmlformats.org/officeDocument/2006/relationships/hyperlink" Id="rId61" Target="https://doi.org/10.1038/nbt.3192" TargetMode="External" /><Relationship Type="http://schemas.openxmlformats.org/officeDocument/2006/relationships/hyperlink" Id="rId77" Target="https://doi.org/10.1038/ncomms14049" TargetMode="External" /><Relationship Type="http://schemas.openxmlformats.org/officeDocument/2006/relationships/hyperlink" Id="rId63" Target="https://doi.org/10.1038/s41576-019-0093-7" TargetMode="External" /><Relationship Type="http://schemas.openxmlformats.org/officeDocument/2006/relationships/hyperlink" Id="rId47" Target="https://doi.org/10.1038/s41592-020-0820-1" TargetMode="External" /><Relationship Type="http://schemas.openxmlformats.org/officeDocument/2006/relationships/hyperlink" Id="rId65" Target="https://doi.org/10.1038/s41598-019-41695-z" TargetMode="External" /><Relationship Type="http://schemas.openxmlformats.org/officeDocument/2006/relationships/hyperlink" Id="rId37" Target="https://doi.org/10.1093/bioinformatics/btu674" TargetMode="External" /><Relationship Type="http://schemas.openxmlformats.org/officeDocument/2006/relationships/hyperlink" Id="rId39" Target="https://doi.org/10.1093/bioinformatics/btx364" TargetMode="External" /><Relationship Type="http://schemas.openxmlformats.org/officeDocument/2006/relationships/hyperlink" Id="rId75" Target="https://doi.org/10.1093/gigascience/giy083" TargetMode="External" /><Relationship Type="http://schemas.openxmlformats.org/officeDocument/2006/relationships/hyperlink" Id="rId55" Target="https://doi.org/10.1093/nar/gkab481" TargetMode="External" /><Relationship Type="http://schemas.openxmlformats.org/officeDocument/2006/relationships/hyperlink" Id="rId59" Target="https://doi.org/10.1093/nar/gkw199" TargetMode="External" /><Relationship Type="http://schemas.openxmlformats.org/officeDocument/2006/relationships/hyperlink" Id="rId57" Target="https://doi.org/10.1101/2022.04.26.489449" TargetMode="External" /><Relationship Type="http://schemas.openxmlformats.org/officeDocument/2006/relationships/hyperlink" Id="rId41" Target="https://doi.org/10.1101/791699" TargetMode="External" /><Relationship Type="http://schemas.openxmlformats.org/officeDocument/2006/relationships/hyperlink" Id="rId49" Target="https://doi.org/10.1186/s13059-019-1662-y" TargetMode="External" /><Relationship Type="http://schemas.openxmlformats.org/officeDocument/2006/relationships/hyperlink" Id="rId45" Target="https://doi.org/10.1186/s13059-019-1874-1" TargetMode="External" /><Relationship Type="http://schemas.openxmlformats.org/officeDocument/2006/relationships/hyperlink" Id="rId53" Target="https://doi.org/gftsnv" TargetMode="External" /><Relationship Type="http://schemas.openxmlformats.org/officeDocument/2006/relationships/hyperlink" Id="rId51" Target="https://doi.org/gjjkwv" TargetMode="External" /><Relationship Type="http://schemas.openxmlformats.org/officeDocument/2006/relationships/hyperlink" Id="rId35" Target="https://github.com/workflowr/workflowr" TargetMode="External" /><Relationship Type="http://schemas.openxmlformats.org/officeDocument/2006/relationships/hyperlink" Id="rId71" Target="https://wilkelab.org/cowplot/" TargetMode="External" /><Relationship Type="http://schemas.openxmlformats.org/officeDocument/2006/relationships/hyperlink" Id="rId73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</dc:title>
  <dc:creator>Evgenii O. Tretiakov</dc:creator>
  <cp:keywords/>
  <dcterms:created xsi:type="dcterms:W3CDTF">2023-03-14T15:10:51Z</dcterms:created>
  <dcterms:modified xsi:type="dcterms:W3CDTF">2023-03-14T15:10:51Z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>2023-03-14</vt:lpwstr>
  </property>
  <property fmtid="{D5CDD505-2E9C-101B-9397-08002B2CF9AE}" pid="4" name="editor_options">
    <vt:lpwstr/>
  </property>
  <property fmtid="{D5CDD505-2E9C-101B-9397-08002B2CF9AE}" pid="5" name="output">
    <vt:lpwstr/>
  </property>
</Properties>
</file>