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D34001">
              <w:rPr>
                <w:rFonts w:ascii="Calibri" w:eastAsia="Times New Roman" w:hAnsi="Calibri" w:cs="Times New Roman"/>
                <w:color w:val="000000"/>
                <w:lang w:eastAsia="en-AU"/>
              </w:rPr>
              <w:t xml:space="preserve"> </w:t>
            </w:r>
            <w:r w:rsidR="00296D30">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E310ED" w:rsidRDefault="00E310ED" w:rsidP="00136F0A">
      <w:pPr>
        <w:rPr>
          <w:lang w:val="en-US"/>
        </w:rPr>
      </w:pPr>
      <w:r>
        <w:rPr>
          <w:noProof/>
          <w:lang w:eastAsia="en-AU"/>
        </w:rPr>
        <w:drawing>
          <wp:inline distT="0" distB="0" distL="0" distR="0" wp14:anchorId="311F23D3" wp14:editId="3C6428D9">
            <wp:extent cx="36957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143250"/>
                    </a:xfrm>
                    <a:prstGeom prst="rect">
                      <a:avLst/>
                    </a:prstGeom>
                  </pic:spPr>
                </pic:pic>
              </a:graphicData>
            </a:graphic>
          </wp:inline>
        </w:drawing>
      </w:r>
      <w:bookmarkStart w:id="0" w:name="_GoBack"/>
      <w:bookmarkEnd w:id="0"/>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w:t>
      </w:r>
      <w:r w:rsidR="00F95C35">
        <w:rPr>
          <w:lang w:val="en-US"/>
        </w:rPr>
        <w:lastRenderedPageBreak/>
        <w:t xml:space="preserve">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r w:rsidR="00172287">
        <w:rPr>
          <w:lang w:val="en-US"/>
        </w:rPr>
        <w:t xml:space="preserve">20b-5p, 17-5p, 32-5p, 429, 148b-3p, 148a-3p, 19a-3p, 16-2-3p,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8B1CAD">
            <w:pPr>
              <w:jc w:val="right"/>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lastRenderedPageBreak/>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8B1CAD">
            <w:pPr>
              <w:jc w:val="right"/>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6488"/>
      </w:tblGrid>
      <w:tr w:rsidR="003B11BA" w:rsidTr="008B1CAD">
        <w:tc>
          <w:tcPr>
            <w:tcW w:w="3005" w:type="dxa"/>
          </w:tcPr>
          <w:p w:rsidR="003B11BA" w:rsidRDefault="003B11BA" w:rsidP="008B1CAD">
            <w:pPr>
              <w:jc w:val="right"/>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8B1CAD">
        <w:tc>
          <w:tcPr>
            <w:tcW w:w="3005" w:type="dxa"/>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8B1CAD">
        <w:tc>
          <w:tcPr>
            <w:tcW w:w="3005" w:type="dxa"/>
          </w:tcPr>
          <w:p w:rsidR="003B11BA" w:rsidRDefault="003B11BA" w:rsidP="008B1CAD">
            <w:pPr>
              <w:jc w:val="right"/>
            </w:pPr>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8B1CAD">
        <w:tc>
          <w:tcPr>
            <w:tcW w:w="3005" w:type="dxa"/>
          </w:tcPr>
          <w:p w:rsidR="003B11BA" w:rsidRDefault="003B11BA" w:rsidP="008B1CAD">
            <w:pPr>
              <w:jc w:val="right"/>
            </w:pPr>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8B1CAD">
        <w:tc>
          <w:tcPr>
            <w:tcW w:w="3005" w:type="dxa"/>
          </w:tcPr>
          <w:p w:rsidR="003B11BA" w:rsidRDefault="003B11BA" w:rsidP="008B1CAD">
            <w:pPr>
              <w:jc w:val="right"/>
            </w:pPr>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8B1CAD">
        <w:tc>
          <w:tcPr>
            <w:tcW w:w="3005" w:type="dxa"/>
          </w:tcPr>
          <w:p w:rsidR="003B11BA" w:rsidRDefault="003B11BA" w:rsidP="008B1CAD">
            <w:pPr>
              <w:jc w:val="right"/>
            </w:pPr>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8B1CAD">
        <w:tc>
          <w:tcPr>
            <w:tcW w:w="3005" w:type="dxa"/>
          </w:tcPr>
          <w:p w:rsidR="003B11BA" w:rsidRDefault="003B11BA" w:rsidP="008B1CAD">
            <w:pPr>
              <w:jc w:val="right"/>
            </w:pPr>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8B1CAD">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651A37" w:rsidP="003B11BA">
      <w:pPr>
        <w:rPr>
          <w:lang w:val="en-US"/>
        </w:rPr>
      </w:pPr>
      <w:r w:rsidRPr="00651A37">
        <w:rPr>
          <w:noProof/>
          <w:lang w:eastAsia="en-AU"/>
        </w:rPr>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lastRenderedPageBreak/>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Pr="00110815" w:rsidRDefault="00575FA6" w:rsidP="003B11BA">
      <w:pPr>
        <w:rPr>
          <w:lang w:val="en-US"/>
        </w:rPr>
      </w:pPr>
      <w:r w:rsidRPr="00575FA6">
        <w:rPr>
          <w:lang w:val="en-US"/>
        </w:rPr>
        <w:t>http://www.ncbi.nlm.nih.gov/pmc/articles/PMC4667072/</w:t>
      </w:r>
    </w:p>
    <w:sectPr w:rsidR="00575FA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005B"/>
    <w:rsid w:val="001073DE"/>
    <w:rsid w:val="00110815"/>
    <w:rsid w:val="00136F0A"/>
    <w:rsid w:val="00156E1B"/>
    <w:rsid w:val="00172287"/>
    <w:rsid w:val="001E6A27"/>
    <w:rsid w:val="00295DCA"/>
    <w:rsid w:val="00296D30"/>
    <w:rsid w:val="00360908"/>
    <w:rsid w:val="003A122B"/>
    <w:rsid w:val="003B04F4"/>
    <w:rsid w:val="003B11BA"/>
    <w:rsid w:val="00416AEA"/>
    <w:rsid w:val="004228C9"/>
    <w:rsid w:val="00432520"/>
    <w:rsid w:val="00474547"/>
    <w:rsid w:val="00481EF2"/>
    <w:rsid w:val="004D6D18"/>
    <w:rsid w:val="004E225B"/>
    <w:rsid w:val="00501A5E"/>
    <w:rsid w:val="00575FA6"/>
    <w:rsid w:val="00580626"/>
    <w:rsid w:val="005918BE"/>
    <w:rsid w:val="005F10AC"/>
    <w:rsid w:val="00646E31"/>
    <w:rsid w:val="00651A37"/>
    <w:rsid w:val="007F1F3C"/>
    <w:rsid w:val="00850F49"/>
    <w:rsid w:val="008A4823"/>
    <w:rsid w:val="008B1CAD"/>
    <w:rsid w:val="00953DD0"/>
    <w:rsid w:val="00984654"/>
    <w:rsid w:val="00AA12C5"/>
    <w:rsid w:val="00AD5A85"/>
    <w:rsid w:val="00B7782C"/>
    <w:rsid w:val="00C25344"/>
    <w:rsid w:val="00C41183"/>
    <w:rsid w:val="00C55F1A"/>
    <w:rsid w:val="00D34001"/>
    <w:rsid w:val="00D578B8"/>
    <w:rsid w:val="00DF526A"/>
    <w:rsid w:val="00E310ED"/>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5</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17</cp:revision>
  <dcterms:created xsi:type="dcterms:W3CDTF">2016-05-19T23:38:00Z</dcterms:created>
  <dcterms:modified xsi:type="dcterms:W3CDTF">2016-09-04T08:51:00Z</dcterms:modified>
</cp:coreProperties>
</file>