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08E807BA" w:rsidR="008A65F4" w:rsidRPr="009608BD" w:rsidRDefault="00820937" w:rsidP="00E66115">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 While the primary tumour can be treated and removed efficiently</w:t>
      </w:r>
      <w:r w:rsidR="00B54929">
        <w:rPr>
          <w:rFonts w:ascii="Times New Roman" w:hAnsi="Times New Roman" w:cs="Times New Roman"/>
          <w:sz w:val="24"/>
          <w:szCs w:val="24"/>
        </w:rPr>
        <w:t xml:space="preserve"> resulting in almost 98</w:t>
      </w:r>
      <w:r w:rsidR="00FF4DEC">
        <w:rPr>
          <w:rFonts w:ascii="Times New Roman" w:hAnsi="Times New Roman" w:cs="Times New Roman"/>
          <w:sz w:val="24"/>
          <w:szCs w:val="24"/>
        </w:rPr>
        <w:t>% survival</w:t>
      </w:r>
      <w:r w:rsidR="00AA4692" w:rsidRPr="009608BD">
        <w:rPr>
          <w:rFonts w:ascii="Times New Roman" w:hAnsi="Times New Roman" w:cs="Times New Roman"/>
          <w:sz w:val="24"/>
          <w:szCs w:val="24"/>
        </w:rPr>
        <w:t xml:space="preserve">, </w:t>
      </w:r>
      <w:r w:rsidR="00CA2888">
        <w:rPr>
          <w:rFonts w:ascii="Times New Roman" w:hAnsi="Times New Roman" w:cs="Times New Roman"/>
          <w:sz w:val="24"/>
          <w:szCs w:val="24"/>
        </w:rPr>
        <w:t xml:space="preserve">patients inflicted with metastatic prostate cancer </w:t>
      </w:r>
      <w:r w:rsidR="00FF4DEC">
        <w:rPr>
          <w:rFonts w:ascii="Times New Roman" w:hAnsi="Times New Roman" w:cs="Times New Roman"/>
          <w:sz w:val="24"/>
          <w:szCs w:val="24"/>
        </w:rPr>
        <w:t>possess a reduced 5-year survival rate of 29.3%</w:t>
      </w:r>
      <w:r w:rsidR="00AA4692" w:rsidRPr="009608BD">
        <w:rPr>
          <w:rFonts w:ascii="Times New Roman" w:hAnsi="Times New Roman" w:cs="Times New Roman"/>
          <w:sz w:val="24"/>
          <w:szCs w:val="24"/>
        </w:rPr>
        <w:t>.</w:t>
      </w:r>
      <w:r w:rsidR="00FF4DEC">
        <w:rPr>
          <w:rFonts w:ascii="Times New Roman" w:hAnsi="Times New Roman" w:cs="Times New Roman"/>
          <w:sz w:val="24"/>
          <w:szCs w:val="24"/>
        </w:rPr>
        <w:t xml:space="preserve"> </w:t>
      </w:r>
      <w:r w:rsidR="00AA4692" w:rsidRPr="009608BD">
        <w:rPr>
          <w:rFonts w:ascii="Times New Roman" w:hAnsi="Times New Roman" w:cs="Times New Roman"/>
          <w:sz w:val="24"/>
          <w:szCs w:val="24"/>
        </w:rPr>
        <w:t xml:space="preserve">This highlights the necessity to identify therapeutic targets and underlying biological phenomena that induce the metastatic phenotype.  </w:t>
      </w:r>
    </w:p>
    <w:p w14:paraId="73668667" w14:textId="0E1FFA76" w:rsidR="009A0B40" w:rsidRDefault="008A65F4" w:rsidP="009A0B40">
      <w:pPr>
        <w:spacing w:line="480" w:lineRule="auto"/>
        <w:rPr>
          <w:rFonts w:ascii="Times New Roman" w:hAnsi="Times New Roman" w:cs="Times New Roman"/>
          <w:sz w:val="24"/>
          <w:szCs w:val="24"/>
        </w:rPr>
      </w:pPr>
      <w:r w:rsidRPr="009608BD">
        <w:rPr>
          <w:rFonts w:ascii="Times New Roman" w:hAnsi="Times New Roman" w:cs="Times New Roman"/>
          <w:sz w:val="24"/>
          <w:szCs w:val="24"/>
        </w:rPr>
        <w:t xml:space="preserve">Caveolin-1 has been linked to prostate cancer metastasis and has been a speculated biomarker for cancer progression.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 xml:space="preserve">called </w:t>
      </w:r>
      <w:proofErr w:type="spellStart"/>
      <w:r w:rsidR="00652B1B">
        <w:rPr>
          <w:rFonts w:ascii="Times New Roman" w:hAnsi="Times New Roman" w:cs="Times New Roman"/>
          <w:sz w:val="24"/>
          <w:szCs w:val="24"/>
        </w:rPr>
        <w:t>C</w:t>
      </w:r>
      <w:r w:rsidR="00A27B39" w:rsidRPr="009608BD">
        <w:rPr>
          <w:rFonts w:ascii="Times New Roman" w:hAnsi="Times New Roman" w:cs="Times New Roman"/>
          <w:sz w:val="24"/>
          <w:szCs w:val="24"/>
        </w:rPr>
        <w:t>aveolae</w:t>
      </w:r>
      <w:proofErr w:type="spellEnd"/>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w:t>
      </w:r>
      <w:bookmarkStart w:id="0" w:name="_GoBack"/>
      <w:bookmarkEnd w:id="0"/>
      <w:r w:rsidR="00625638" w:rsidRPr="009608BD">
        <w:rPr>
          <w:rFonts w:ascii="Times New Roman" w:hAnsi="Times New Roman" w:cs="Times New Roman"/>
          <w:sz w:val="24"/>
          <w:szCs w:val="24"/>
        </w:rPr>
        <w:t xml:space="preserve"> that links caveolin to these phenotypes is still actively being investigated. </w:t>
      </w:r>
      <w:r w:rsidR="008344AE" w:rsidRPr="009608BD">
        <w:rPr>
          <w:rFonts w:ascii="Times New Roman" w:hAnsi="Times New Roman" w:cs="Times New Roman"/>
          <w:sz w:val="24"/>
          <w:szCs w:val="24"/>
        </w:rPr>
        <w:t>Additionally, ectopic expression of functional cavin-1 in</w:t>
      </w:r>
      <w:r w:rsidR="00652B1B">
        <w:rPr>
          <w:rFonts w:ascii="Times New Roman" w:hAnsi="Times New Roman" w:cs="Times New Roman"/>
          <w:sz w:val="24"/>
          <w:szCs w:val="24"/>
        </w:rPr>
        <w:t xml:space="preserve"> caveolin-1-</w:t>
      </w:r>
      <w:r w:rsidR="00461480" w:rsidRPr="009608BD">
        <w:rPr>
          <w:rFonts w:ascii="Times New Roman" w:hAnsi="Times New Roman" w:cs="Times New Roman"/>
          <w:sz w:val="24"/>
          <w:szCs w:val="24"/>
        </w:rPr>
        <w:t xml:space="preserve">only expressive cells, such as the PC3 advanced </w:t>
      </w:r>
      <w:r w:rsidR="000A2838">
        <w:rPr>
          <w:rFonts w:ascii="Times New Roman" w:hAnsi="Times New Roman" w:cs="Times New Roman"/>
          <w:sz w:val="24"/>
          <w:szCs w:val="24"/>
        </w:rPr>
        <w:t>prostate cancer cell line</w:t>
      </w:r>
      <w:r w:rsidR="00461480" w:rsidRPr="009608BD">
        <w:rPr>
          <w:rFonts w:ascii="Times New Roman" w:hAnsi="Times New Roman" w:cs="Times New Roman"/>
          <w:sz w:val="24"/>
          <w:szCs w:val="24"/>
        </w:rPr>
        <w:t>, truncates many of the pro-</w:t>
      </w:r>
      <w:r w:rsidR="003516DB" w:rsidRPr="009608BD">
        <w:rPr>
          <w:rFonts w:ascii="Times New Roman" w:hAnsi="Times New Roman" w:cs="Times New Roman"/>
          <w:sz w:val="24"/>
          <w:szCs w:val="24"/>
        </w:rPr>
        <w:t>tumorigenic</w:t>
      </w:r>
      <w:r w:rsidR="00461480" w:rsidRPr="009608BD">
        <w:rPr>
          <w:rFonts w:ascii="Times New Roman" w:hAnsi="Times New Roman" w:cs="Times New Roman"/>
          <w:sz w:val="24"/>
          <w:szCs w:val="24"/>
        </w:rPr>
        <w:t xml:space="preserve"> properties</w:t>
      </w:r>
      <w:r w:rsidR="000A2838">
        <w:rPr>
          <w:rFonts w:ascii="Times New Roman" w:hAnsi="Times New Roman" w:cs="Times New Roman"/>
          <w:sz w:val="24"/>
          <w:szCs w:val="24"/>
        </w:rPr>
        <w:t xml:space="preserve"> observed by these cells</w:t>
      </w:r>
      <w:r w:rsidR="00BE7CE6">
        <w:rPr>
          <w:rFonts w:ascii="Times New Roman" w:hAnsi="Times New Roman" w:cs="Times New Roman"/>
          <w:sz w:val="24"/>
          <w:szCs w:val="24"/>
        </w:rPr>
        <w:t xml:space="preserve">. Similarly, knockdown of cav-1 in PC3 cells reduces the oncogenic behaviour, hereby emphasizing its role in metastasis. </w:t>
      </w:r>
      <w:r w:rsidR="00652B1B">
        <w:rPr>
          <w:rFonts w:ascii="Times New Roman" w:hAnsi="Times New Roman" w:cs="Times New Roman"/>
          <w:sz w:val="24"/>
          <w:szCs w:val="24"/>
        </w:rPr>
        <w:t>NEED SMETHING TO LINK.</w:t>
      </w:r>
    </w:p>
    <w:p w14:paraId="4AAFA894" w14:textId="574A5609" w:rsidR="00652B1B" w:rsidRPr="00652B1B" w:rsidRDefault="00652B1B" w:rsidP="00652B1B">
      <w:pPr>
        <w:spacing w:line="480" w:lineRule="auto"/>
        <w:ind w:firstLine="0"/>
        <w:rPr>
          <w:rFonts w:ascii="Times New Roman" w:hAnsi="Times New Roman" w:cs="Times New Roman"/>
          <w:b/>
          <w:sz w:val="24"/>
          <w:szCs w:val="24"/>
        </w:rPr>
      </w:pPr>
      <w:r>
        <w:rPr>
          <w:rFonts w:ascii="Times New Roman" w:hAnsi="Times New Roman" w:cs="Times New Roman"/>
          <w:sz w:val="24"/>
          <w:szCs w:val="24"/>
        </w:rPr>
        <w:tab/>
      </w: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5EBAE687"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(Figure 1).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lastRenderedPageBreak/>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2015). EV cargo consists of cytoplasmic material, functional RNA and proteins, where this content can differ between the subpopulations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Pr="00B23259">
        <w:rPr>
          <w:rFonts w:ascii="Times New Roman" w:hAnsi="Times New Roman" w:cs="Times New Roman"/>
          <w:sz w:val="24"/>
          <w:szCs w:val="24"/>
        </w:rPr>
        <w:t xml:space="preserve">(Campos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De Toro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2015</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B23259">
        <w:rPr>
          <w:rFonts w:ascii="Times New Roman" w:hAnsi="Times New Roman" w:cs="Times New Roman"/>
          <w:sz w:val="24"/>
          <w:szCs w:val="24"/>
        </w:rPr>
        <w:t>.</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Primarily this is attributed to the proteomic EV content being introduced into the endogenous population of the target cell, such as introduction of beta-catenin, epidermal growth factor and major eleme</w:t>
      </w:r>
      <w:r w:rsidR="009A0B40">
        <w:rPr>
          <w:rFonts w:ascii="Times New Roman" w:hAnsi="Times New Roman" w:cs="Times New Roman"/>
          <w:sz w:val="24"/>
          <w:szCs w:val="24"/>
        </w:rPr>
        <w:t>nts of the MAPK pathway.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0BB43901"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known to induce RNA degradation (Ha and Kim 2014). Typically, the mature miRNA sequence interact with the 3’ untranslated region (3’-UTR) of its target transcripts and guides a multi-protein RNA induced silencing complex (RISC) to destine these molecules for degradation or translational inhibition (</w:t>
      </w:r>
      <w:proofErr w:type="spellStart"/>
      <w:r w:rsidRPr="00B4460E">
        <w:rPr>
          <w:rFonts w:ascii="Times New Roman" w:hAnsi="Times New Roman" w:cs="Times New Roman"/>
          <w:sz w:val="24"/>
          <w:szCs w:val="24"/>
        </w:rPr>
        <w:t>Djuranovic</w:t>
      </w:r>
      <w:proofErr w:type="spellEnd"/>
      <w:r w:rsidRPr="00B4460E">
        <w:rPr>
          <w:rFonts w:ascii="Times New Roman" w:hAnsi="Times New Roman" w:cs="Times New Roman"/>
          <w:sz w:val="24"/>
          <w:szCs w:val="24"/>
        </w:rPr>
        <w:t xml:space="preserve"> et al. 2012).</w:t>
      </w:r>
      <w:r w:rsidR="009608BD">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approximately 60% of the mammalian genome is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DC5042">
        <w:rPr>
          <w:rFonts w:ascii="Times New Roman" w:hAnsi="Times New Roman" w:cs="Times New Roman"/>
          <w:sz w:val="24"/>
          <w:szCs w:val="24"/>
        </w:rPr>
        <w:t xml:space="preserve">. </w:t>
      </w:r>
      <w:r w:rsidR="00880D74">
        <w:rPr>
          <w:rFonts w:ascii="Times New Roman" w:hAnsi="Times New Roman" w:cs="Times New Roman"/>
          <w:sz w:val="24"/>
          <w:szCs w:val="24"/>
        </w:rPr>
        <w:t xml:space="preserve">This instigates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C2738E">
        <w:rPr>
          <w:rFonts w:ascii="Times New Roman" w:hAnsi="Times New Roman" w:cs="Times New Roman"/>
          <w:sz w:val="24"/>
          <w:szCs w:val="24"/>
        </w:rPr>
        <w:t>Indeed</w:t>
      </w:r>
      <w:r w:rsidR="00577A2B">
        <w:rPr>
          <w:rFonts w:ascii="Times New Roman" w:hAnsi="Times New Roman" w:cs="Times New Roman"/>
          <w:sz w:val="24"/>
          <w:szCs w:val="24"/>
        </w:rPr>
        <w:t>,</w:t>
      </w:r>
      <w:r w:rsidR="00C2738E">
        <w:rPr>
          <w:rFonts w:ascii="Times New Roman" w:hAnsi="Times New Roman" w:cs="Times New Roman"/>
          <w:sz w:val="24"/>
          <w:szCs w:val="24"/>
        </w:rPr>
        <w:t xml:space="preserve"> this is maintained by the high content of RNa</w:t>
      </w:r>
      <w:r w:rsidR="00577A2B">
        <w:rPr>
          <w:rFonts w:ascii="Times New Roman" w:hAnsi="Times New Roman" w:cs="Times New Roman"/>
          <w:sz w:val="24"/>
          <w:szCs w:val="24"/>
        </w:rPr>
        <w:t xml:space="preserve">ses in the extracellular space </w:t>
      </w:r>
      <w:r w:rsidR="00387251">
        <w:rPr>
          <w:rFonts w:ascii="Times New Roman" w:hAnsi="Times New Roman" w:cs="Times New Roman"/>
          <w:sz w:val="24"/>
          <w:szCs w:val="24"/>
        </w:rPr>
        <w:t xml:space="preserve">which </w:t>
      </w:r>
      <w:r w:rsidR="00387251">
        <w:rPr>
          <w:rFonts w:ascii="Times New Roman" w:hAnsi="Times New Roman" w:cs="Times New Roman"/>
          <w:sz w:val="24"/>
          <w:szCs w:val="24"/>
        </w:rPr>
        <w:lastRenderedPageBreak/>
        <w:t>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 xml:space="preserve">translocation across extracellular space.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 </w:t>
      </w:r>
    </w:p>
    <w:p w14:paraId="1334DFC5" w14:textId="6AE0DB94" w:rsidR="00032294" w:rsidRDefault="00652B1B" w:rsidP="00652B1B">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w:t>
      </w:r>
      <w:commentRangeStart w:id="1"/>
      <w:r w:rsidRPr="00B23259">
        <w:rPr>
          <w:rFonts w:ascii="Times New Roman" w:hAnsi="Times New Roman" w:cs="Times New Roman"/>
          <w:sz w:val="24"/>
          <w:szCs w:val="24"/>
        </w:rPr>
        <w:t>vest</w:t>
      </w:r>
      <w:commentRangeEnd w:id="1"/>
      <w:r>
        <w:rPr>
          <w:rStyle w:val="CommentReference"/>
        </w:rPr>
        <w:commentReference w:id="1"/>
      </w:r>
      <w:r w:rsidRPr="00B23259">
        <w:rPr>
          <w:rFonts w:ascii="Times New Roman" w:hAnsi="Times New Roman" w:cs="Times New Roman"/>
          <w:sz w:val="24"/>
          <w:szCs w:val="24"/>
        </w:rPr>
        <w:t>igate the role of caveolin-1 in prostate cancer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 xml:space="preserve"> 2014)</w:t>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w:t>
      </w:r>
      <w:proofErr w:type="spellStart"/>
      <w:r w:rsidRPr="00B23259">
        <w:rPr>
          <w:rFonts w:ascii="Times New Roman" w:hAnsi="Times New Roman" w:cs="Times New Roman"/>
          <w:sz w:val="24"/>
          <w:szCs w:val="24"/>
        </w:rPr>
        <w:t>caveolin</w:t>
      </w:r>
      <w:proofErr w:type="spellEnd"/>
      <w:r w:rsidRPr="00B23259">
        <w:rPr>
          <w:rFonts w:ascii="Times New Roman" w:hAnsi="Times New Roman" w:cs="Times New Roman"/>
          <w:sz w:val="24"/>
          <w:szCs w:val="24"/>
        </w:rPr>
        <w:t xml:space="preserve"> or cavin-1. </w:t>
      </w:r>
      <w:r w:rsidR="008E6AFE">
        <w:rPr>
          <w:rFonts w:ascii="Times New Roman" w:hAnsi="Times New Roman" w:cs="Times New Roman"/>
          <w:sz w:val="24"/>
          <w:szCs w:val="24"/>
        </w:rPr>
        <w:t>In addition to 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targeting </w:t>
      </w:r>
      <w:r w:rsidR="00B54929" w:rsidRPr="00B54929">
        <w:rPr>
          <w:rFonts w:ascii="Times New Roman" w:hAnsi="Times New Roman" w:cs="Times New Roman"/>
          <w:color w:val="FF0000"/>
          <w:sz w:val="24"/>
          <w:szCs w:val="24"/>
        </w:rPr>
        <w:t>BLAH PATHWAY</w:t>
      </w:r>
      <w:r w:rsidR="00B54929">
        <w:rPr>
          <w:rFonts w:ascii="Times New Roman" w:hAnsi="Times New Roman" w:cs="Times New Roman"/>
          <w:sz w:val="24"/>
          <w:szCs w:val="24"/>
        </w:rPr>
        <w:t xml:space="preserve"> </w:t>
      </w:r>
      <w:r w:rsidR="00FB0D75">
        <w:rPr>
          <w:rFonts w:ascii="Times New Roman" w:hAnsi="Times New Roman" w:cs="Times New Roman"/>
          <w:sz w:val="24"/>
          <w:szCs w:val="24"/>
        </w:rPr>
        <w:t xml:space="preserve">where the inverse was observed upon miR-148a inhibition.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increased </w:t>
      </w:r>
      <w:r w:rsidR="00FD76C4" w:rsidRPr="00FD76C4">
        <w:rPr>
          <w:rFonts w:ascii="Times New Roman" w:hAnsi="Times New Roman" w:cs="Times New Roman"/>
          <w:color w:val="FF0000"/>
          <w:sz w:val="24"/>
          <w:szCs w:val="24"/>
        </w:rPr>
        <w:t>bone degradation</w:t>
      </w:r>
      <w:r w:rsidR="000F02B1" w:rsidRPr="00FD76C4">
        <w:rPr>
          <w:rFonts w:ascii="Times New Roman" w:hAnsi="Times New Roman" w:cs="Times New Roman"/>
          <w:color w:val="FF0000"/>
          <w:sz w:val="24"/>
          <w:szCs w:val="24"/>
        </w:rPr>
        <w:t xml:space="preserve">. </w:t>
      </w:r>
      <w:r w:rsidR="000F02B1">
        <w:rPr>
          <w:rFonts w:ascii="Times New Roman" w:hAnsi="Times New Roman" w:cs="Times New Roman"/>
          <w:sz w:val="24"/>
          <w:szCs w:val="24"/>
        </w:rPr>
        <w:t>Therefore 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p>
    <w:p w14:paraId="2945066B" w14:textId="5BCC628B" w:rsidR="008E6AFE" w:rsidRDefault="00032294" w:rsidP="00B23259">
      <w:pPr>
        <w:spacing w:line="480" w:lineRule="auto"/>
        <w:rPr>
          <w:rFonts w:ascii="Times New Roman" w:hAnsi="Times New Roman" w:cs="Times New Roman"/>
          <w:sz w:val="24"/>
          <w:szCs w:val="24"/>
        </w:rPr>
      </w:pPr>
      <w:r>
        <w:rPr>
          <w:rFonts w:ascii="Times New Roman" w:hAnsi="Times New Roman" w:cs="Times New Roman"/>
          <w:sz w:val="24"/>
          <w:szCs w:val="24"/>
        </w:rPr>
        <w:t>Upon comparing miR-148a EV concentration to its cellular levels reveals that the addition of cavin-1 does not modify the expression levels of miR-148a, on</w:t>
      </w:r>
      <w:r w:rsidR="002B4266">
        <w:rPr>
          <w:rFonts w:ascii="Times New Roman" w:hAnsi="Times New Roman" w:cs="Times New Roman"/>
          <w:sz w:val="24"/>
          <w:szCs w:val="24"/>
        </w:rPr>
        <w:t>ly the EV content</w:t>
      </w:r>
      <w:r>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been observed in other studies, some of which had been linked with functions. Yet, the mechanism that governs this selectively is mostly unknown. </w:t>
      </w:r>
    </w:p>
    <w:p w14:paraId="2C5345EE" w14:textId="362876F9" w:rsidR="008506A9" w:rsidRDefault="00B901B7" w:rsidP="00055C57">
      <w:pPr>
        <w:pStyle w:val="Default"/>
        <w:spacing w:line="480" w:lineRule="auto"/>
        <w:ind w:firstLine="142"/>
      </w:pPr>
      <w:r>
        <w:lastRenderedPageBreak/>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w:t>
      </w:r>
      <w:proofErr w:type="gramStart"/>
      <w:r w:rsidR="00055C57" w:rsidRPr="004173A8">
        <w:t>et</w:t>
      </w:r>
      <w:proofErr w:type="gramEnd"/>
      <w:r w:rsidR="00055C57" w:rsidRPr="004173A8">
        <w:t xml:space="preserve">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 (</w:t>
      </w:r>
      <w:proofErr w:type="spellStart"/>
      <w:r w:rsidR="00055C57" w:rsidRPr="004173A8">
        <w:t>Villarroya-Beltri</w:t>
      </w:r>
      <w:proofErr w:type="spellEnd"/>
      <w:r w:rsidR="00055C57" w:rsidRPr="004173A8">
        <w:t xml:space="preserve"> </w:t>
      </w:r>
      <w:r w:rsidR="00055C57" w:rsidRPr="004173A8">
        <w:rPr>
          <w:i/>
          <w:iCs/>
        </w:rPr>
        <w:t xml:space="preserve">et al. </w:t>
      </w:r>
      <w:r w:rsidR="00055C57" w:rsidRPr="004173A8">
        <w:t>2013).</w:t>
      </w:r>
      <w:r w:rsidR="00055C57">
        <w:t xml:space="preserve"> 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 Further questions arise due to this finding, such as the use of other </w:t>
      </w:r>
      <w:proofErr w:type="spellStart"/>
      <w:r w:rsidR="00055C57">
        <w:t>hnRNP</w:t>
      </w:r>
      <w:proofErr w:type="spellEnd"/>
      <w:r w:rsidR="00055C57">
        <w:t xml:space="preserve"> proteins for this function, how </w:t>
      </w:r>
      <w:proofErr w:type="spellStart"/>
      <w:r w:rsidR="00055C57">
        <w:t>hnRNPs</w:t>
      </w:r>
      <w:proofErr w:type="spellEnd"/>
      <w:r w:rsidR="00055C57">
        <w:t xml:space="preserve"> are targeted to the EVs and whether this protein family could be responsible for miRNA EV export in other cell types and</w:t>
      </w:r>
      <w:r w:rsidR="00734803">
        <w:t xml:space="preserve"> stimuli. </w:t>
      </w:r>
    </w:p>
    <w:p w14:paraId="569A5E75" w14:textId="7B26A57D" w:rsidR="00734803" w:rsidRPr="00734803" w:rsidRDefault="00734803" w:rsidP="00734803">
      <w:pPr>
        <w:pStyle w:val="Default"/>
        <w:spacing w:line="480" w:lineRule="auto"/>
        <w:ind w:firstLine="142"/>
        <w:rPr>
          <w:b/>
        </w:rPr>
      </w:pPr>
      <w:r w:rsidRPr="00734803">
        <w:rPr>
          <w:b/>
        </w:rPr>
        <w:t xml:space="preserve">Hypothesis and Aims: </w:t>
      </w:r>
    </w:p>
    <w:p w14:paraId="47CE1E28" w14:textId="77777777"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As cavin-1 cannot directly mediate the export of miRNAs</w:t>
      </w:r>
      <w:r>
        <w:t xml:space="preserve"> as it is not present within EVs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B4460E" w:rsidRDefault="00B4460E" w:rsidP="00B23259">
      <w:pPr>
        <w:spacing w:line="480" w:lineRule="auto"/>
        <w:rPr>
          <w:rFonts w:ascii="Times New Roman" w:hAnsi="Times New Roman" w:cs="Times New Roman"/>
          <w:sz w:val="24"/>
          <w:szCs w:val="24"/>
        </w:rPr>
      </w:pPr>
    </w:p>
    <w:p w14:paraId="74847C0E" w14:textId="77777777" w:rsidR="00461480" w:rsidRPr="00B23259" w:rsidRDefault="00B95120" w:rsidP="00B232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9829F0" w14:textId="77777777" w:rsidR="008A65F4" w:rsidRDefault="00461480" w:rsidP="008A65F4">
      <w:r>
        <w:t xml:space="preserve">   </w:t>
      </w:r>
      <w:r w:rsidR="00287666">
        <w:t xml:space="preserve"> </w:t>
      </w:r>
      <w:r w:rsidR="00A27B39">
        <w:t xml:space="preserve">   </w:t>
      </w:r>
    </w:p>
    <w:sectPr w:rsidR="008A65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16-08-10T12:37:00Z" w:initials="Ma">
    <w:p w14:paraId="7B39939D" w14:textId="77777777" w:rsidR="00652B1B" w:rsidRDefault="00652B1B" w:rsidP="00652B1B">
      <w:pPr>
        <w:pStyle w:val="CommentText"/>
      </w:pPr>
      <w:r>
        <w:rPr>
          <w:rStyle w:val="CommentReference"/>
        </w:rPr>
        <w:annotationRef/>
      </w:r>
      <w:r>
        <w:t>Past research from our lab assessed the PC3, advanced prostate cancer cell line, to determine cellular abnormalities that evoke the metastatic phenotype.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993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52"/>
    <w:rsid w:val="00032294"/>
    <w:rsid w:val="00055C57"/>
    <w:rsid w:val="00080F35"/>
    <w:rsid w:val="000A2838"/>
    <w:rsid w:val="000F02B1"/>
    <w:rsid w:val="00120C1A"/>
    <w:rsid w:val="002121FA"/>
    <w:rsid w:val="00287666"/>
    <w:rsid w:val="00295139"/>
    <w:rsid w:val="002B418E"/>
    <w:rsid w:val="002B4266"/>
    <w:rsid w:val="002C0953"/>
    <w:rsid w:val="003516DB"/>
    <w:rsid w:val="00363848"/>
    <w:rsid w:val="00387251"/>
    <w:rsid w:val="00415B8F"/>
    <w:rsid w:val="00461480"/>
    <w:rsid w:val="004D0458"/>
    <w:rsid w:val="005236AE"/>
    <w:rsid w:val="00577A2B"/>
    <w:rsid w:val="005839BD"/>
    <w:rsid w:val="00623B82"/>
    <w:rsid w:val="00625638"/>
    <w:rsid w:val="00651164"/>
    <w:rsid w:val="00652B1B"/>
    <w:rsid w:val="00734803"/>
    <w:rsid w:val="007A3112"/>
    <w:rsid w:val="00820937"/>
    <w:rsid w:val="008344AE"/>
    <w:rsid w:val="008506A9"/>
    <w:rsid w:val="00874CCF"/>
    <w:rsid w:val="00880D74"/>
    <w:rsid w:val="008A65F4"/>
    <w:rsid w:val="008E6AFE"/>
    <w:rsid w:val="009454B9"/>
    <w:rsid w:val="009608BD"/>
    <w:rsid w:val="009A0B40"/>
    <w:rsid w:val="00A021E9"/>
    <w:rsid w:val="00A27B39"/>
    <w:rsid w:val="00AA4692"/>
    <w:rsid w:val="00AE609E"/>
    <w:rsid w:val="00B23259"/>
    <w:rsid w:val="00B4460E"/>
    <w:rsid w:val="00B54929"/>
    <w:rsid w:val="00B76857"/>
    <w:rsid w:val="00B863F4"/>
    <w:rsid w:val="00B901B7"/>
    <w:rsid w:val="00B95120"/>
    <w:rsid w:val="00BE7CE6"/>
    <w:rsid w:val="00C2738E"/>
    <w:rsid w:val="00CA2888"/>
    <w:rsid w:val="00CD50B8"/>
    <w:rsid w:val="00DC5042"/>
    <w:rsid w:val="00E0603F"/>
    <w:rsid w:val="00E63D30"/>
    <w:rsid w:val="00E66115"/>
    <w:rsid w:val="00EA5858"/>
    <w:rsid w:val="00EE7A29"/>
    <w:rsid w:val="00F26152"/>
    <w:rsid w:val="00F649E2"/>
    <w:rsid w:val="00FB0D75"/>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2016-08-07T07:55:00Z</dcterms:created>
  <dcterms:modified xsi:type="dcterms:W3CDTF">2016-08-13T03:27:00Z</dcterms:modified>
</cp:coreProperties>
</file>