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2CC92E69"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6E2E1A">
          <w:rPr>
            <w:rFonts w:ascii="Times New Roman" w:hAnsi="Times New Roman" w:cs="Times New Roman"/>
            <w:noProof/>
            <w:sz w:val="24"/>
            <w:szCs w:val="24"/>
          </w:rPr>
          <w:t>Bubendorf</w:t>
        </w:r>
        <w:r w:rsidR="006E2E1A" w:rsidRPr="00E05117">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While the primary tumour can be treated and removed efficiently</w:t>
      </w:r>
      <w:r w:rsidR="00BD4567">
        <w:rPr>
          <w:rFonts w:ascii="Times New Roman" w:hAnsi="Times New Roman" w:cs="Times New Roman"/>
          <w:sz w:val="24"/>
          <w:szCs w:val="24"/>
        </w:rPr>
        <w:t xml:space="preserve"> resulting in almost 99</w:t>
      </w:r>
      <w:r w:rsidR="00FF4DEC">
        <w:rPr>
          <w:rFonts w:ascii="Times New Roman" w:hAnsi="Times New Roman" w:cs="Times New Roman"/>
          <w:sz w:val="24"/>
          <w:szCs w:val="24"/>
        </w:rPr>
        <w:t>%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r w:rsidR="00E05117">
        <w:rPr>
          <w:rFonts w:ascii="Times New Roman" w:hAnsi="Times New Roman" w:cs="Times New Roman"/>
          <w:sz w:val="24"/>
          <w:szCs w:val="24"/>
        </w:rPr>
        <w:t xml:space="preserve"> </w:t>
      </w:r>
      <w:r w:rsidR="00010C12">
        <w:rPr>
          <w:rFonts w:ascii="Times New Roman" w:hAnsi="Times New Roman" w:cs="Times New Roman"/>
          <w:sz w:val="24"/>
          <w:szCs w:val="24"/>
        </w:rPr>
        <w:t>(SEER 2016)</w:t>
      </w:r>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2E78BF56" w14:textId="1CA2065A" w:rsidR="002C55D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9" w:tooltip="Gumulec, 2012 #167" w:history="1">
        <w:r w:rsidR="006E2E1A">
          <w:rPr>
            <w:rFonts w:ascii="Times New Roman" w:hAnsi="Times New Roman" w:cs="Times New Roman"/>
            <w:noProof/>
            <w:sz w:val="24"/>
            <w:szCs w:val="24"/>
          </w:rPr>
          <w:t>Gumulec</w:t>
        </w:r>
        <w:r w:rsidR="006E2E1A" w:rsidRPr="00B716F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17" w:tooltip="Moon, 2014 #10" w:history="1">
        <w:r w:rsidR="006E2E1A">
          <w:rPr>
            <w:rFonts w:ascii="Times New Roman" w:hAnsi="Times New Roman" w:cs="Times New Roman"/>
            <w:noProof/>
            <w:sz w:val="24"/>
            <w:szCs w:val="24"/>
          </w:rPr>
          <w:t>Moon</w:t>
        </w:r>
        <w:r w:rsidR="006E2E1A" w:rsidRPr="00B716F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1" w:tooltip="Hayashi, 2015 #166" w:history="1">
        <w:r w:rsidR="006E2E1A">
          <w:rPr>
            <w:rFonts w:ascii="Times New Roman" w:hAnsi="Times New Roman" w:cs="Times New Roman"/>
            <w:noProof/>
            <w:sz w:val="24"/>
            <w:szCs w:val="24"/>
          </w:rPr>
          <w:t>Hayashi</w:t>
        </w:r>
        <w:r w:rsidR="006E2E1A" w:rsidRPr="00B716F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3" w:tooltip="Hill, 2008 #33" w:history="1">
        <w:r w:rsidR="006E2E1A">
          <w:rPr>
            <w:rFonts w:ascii="Times New Roman" w:hAnsi="Times New Roman" w:cs="Times New Roman"/>
            <w:noProof/>
            <w:sz w:val="24"/>
            <w:szCs w:val="24"/>
          </w:rPr>
          <w:t>Hill</w:t>
        </w:r>
        <w:r w:rsidR="006E2E1A" w:rsidRPr="004030B3">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17" w:tooltip="Moon, 2014 #10" w:history="1">
        <w:r w:rsidR="006E2E1A">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22" w:tooltip="Wu, 2011 #171" w:history="1">
        <w:r w:rsidR="006E2E1A">
          <w:rPr>
            <w:rFonts w:ascii="Times New Roman" w:hAnsi="Times New Roman" w:cs="Times New Roman"/>
            <w:noProof/>
            <w:sz w:val="24"/>
            <w:szCs w:val="24"/>
          </w:rPr>
          <w:t>Wu</w:t>
        </w:r>
        <w:r w:rsidR="006E2E1A" w:rsidRPr="009F4C73">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18" w:tooltip="Moumita, 2015 #168" w:history="1">
        <w:r w:rsidR="006E2E1A">
          <w:rPr>
            <w:rFonts w:ascii="Times New Roman" w:hAnsi="Times New Roman" w:cs="Times New Roman"/>
            <w:noProof/>
            <w:sz w:val="24"/>
            <w:szCs w:val="24"/>
          </w:rPr>
          <w:t>Moumita</w:t>
        </w:r>
        <w:r w:rsidR="006E2E1A" w:rsidRPr="009F4C73">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8" w:tooltip="Grande-García, 2007 #173" w:history="1">
        <w:r w:rsidR="006E2E1A">
          <w:rPr>
            <w:rFonts w:ascii="Times New Roman" w:hAnsi="Times New Roman" w:cs="Times New Roman"/>
            <w:noProof/>
            <w:sz w:val="24"/>
            <w:szCs w:val="24"/>
          </w:rPr>
          <w:t>Grande-García</w:t>
        </w:r>
        <w:r w:rsidR="006E2E1A" w:rsidRPr="007E521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6E2E1A">
          <w:rPr>
            <w:rFonts w:ascii="Times New Roman" w:hAnsi="Times New Roman" w:cs="Times New Roman"/>
            <w:noProof/>
            <w:sz w:val="24"/>
            <w:szCs w:val="24"/>
          </w:rPr>
          <w:t>Chatterjee</w:t>
        </w:r>
        <w:r w:rsidR="006E2E1A" w:rsidRPr="007E521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Additionally, ectopic expression of functional cavin-1 in</w:t>
      </w:r>
      <w:r w:rsidR="00652B1B">
        <w:rPr>
          <w:rFonts w:ascii="Times New Roman" w:hAnsi="Times New Roman" w:cs="Times New Roman"/>
          <w:sz w:val="24"/>
          <w:szCs w:val="24"/>
        </w:rPr>
        <w:t xml:space="preserve"> caveolin-1-</w:t>
      </w:r>
      <w:r w:rsidR="00461480" w:rsidRPr="009608BD">
        <w:rPr>
          <w:rFonts w:ascii="Times New Roman" w:hAnsi="Times New Roman" w:cs="Times New Roman"/>
          <w:sz w:val="24"/>
          <w:szCs w:val="24"/>
        </w:rPr>
        <w:t xml:space="preserve">only expressive cells, such as the PC3 advanced </w:t>
      </w:r>
      <w:r w:rsidR="000A2838">
        <w:rPr>
          <w:rFonts w:ascii="Times New Roman" w:hAnsi="Times New Roman" w:cs="Times New Roman"/>
          <w:sz w:val="24"/>
          <w:szCs w:val="24"/>
        </w:rPr>
        <w:t>prostate cancer cell line</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w:t>
      </w:r>
      <w:r w:rsidR="000A2838">
        <w:rPr>
          <w:rFonts w:ascii="Times New Roman" w:hAnsi="Times New Roman" w:cs="Times New Roman"/>
          <w:sz w:val="24"/>
          <w:szCs w:val="24"/>
        </w:rPr>
        <w:t xml:space="preserve"> observed by these cells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7" w:tooltip="Moon, 2014 #10" w:history="1">
        <w:r w:rsidR="006E2E1A">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 Similarly, knockdown of cav</w:t>
      </w:r>
      <w:r w:rsidR="00E019CA">
        <w:rPr>
          <w:rFonts w:ascii="Times New Roman" w:hAnsi="Times New Roman" w:cs="Times New Roman"/>
          <w:sz w:val="24"/>
          <w:szCs w:val="24"/>
        </w:rPr>
        <w:t>eolin</w:t>
      </w:r>
      <w:r w:rsidR="00BE7CE6">
        <w:rPr>
          <w:rFonts w:ascii="Times New Roman" w:hAnsi="Times New Roman" w:cs="Times New Roman"/>
          <w:sz w:val="24"/>
          <w:szCs w:val="24"/>
        </w:rPr>
        <w:t>-1 in PC3 cells reduces the oncogenic behaviour, hereby emphasizing its role in metastasis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7" w:tooltip="Moon, 2014 #10" w:history="1">
        <w:r w:rsidR="006E2E1A">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 xml:space="preserve">. </w:t>
      </w:r>
      <w:r w:rsidR="002C55DB">
        <w:rPr>
          <w:rFonts w:ascii="Times New Roman" w:hAnsi="Times New Roman" w:cs="Times New Roman"/>
          <w:sz w:val="24"/>
          <w:szCs w:val="24"/>
        </w:rPr>
        <w:t>Amongst the typical signalling abnormalities that describe the link between caveolin and metastatic behaviour, a recent study had linked caveolin-1 overexpression with modifications in the extracellular vesicle content</w:t>
      </w:r>
      <w:r w:rsidR="00CD38B8">
        <w:rPr>
          <w:rFonts w:ascii="Times New Roman" w:hAnsi="Times New Roman" w:cs="Times New Roman"/>
          <w:sz w:val="24"/>
          <w:szCs w:val="24"/>
        </w:rPr>
        <w:t xml:space="preserve"> which may also contribute to metastasis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4" w:tooltip="Inder, 2014 #9" w:history="1">
        <w:r w:rsidR="006E2E1A">
          <w:rPr>
            <w:rFonts w:ascii="Times New Roman" w:hAnsi="Times New Roman" w:cs="Times New Roman"/>
            <w:noProof/>
            <w:sz w:val="24"/>
            <w:szCs w:val="24"/>
          </w:rPr>
          <w:t>Inder</w:t>
        </w:r>
        <w:r w:rsidR="006E2E1A" w:rsidRPr="007E521F">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2C55DB">
        <w:rPr>
          <w:rFonts w:ascii="Times New Roman" w:hAnsi="Times New Roman" w:cs="Times New Roman"/>
          <w:sz w:val="24"/>
          <w:szCs w:val="24"/>
        </w:rPr>
        <w:t xml:space="preserve">. </w:t>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lastRenderedPageBreak/>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3DD3C9A2"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(Figure 1)</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Pegtel, 2014 #174" w:history="1">
        <w:r w:rsidR="006E2E1A">
          <w:rPr>
            <w:rFonts w:ascii="Times New Roman" w:hAnsi="Times New Roman" w:cs="Times New Roman"/>
            <w:noProof/>
            <w:sz w:val="24"/>
            <w:szCs w:val="24"/>
          </w:rPr>
          <w:t>Pegtel</w:t>
        </w:r>
        <w:r w:rsidR="006E2E1A" w:rsidRPr="00CF7D14">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6" w:tooltip="McKechnie, 2006 #169" w:history="1">
        <w:r w:rsidR="006E2E1A">
          <w:rPr>
            <w:rFonts w:ascii="Times New Roman" w:hAnsi="Times New Roman" w:cs="Times New Roman"/>
            <w:noProof/>
            <w:sz w:val="24"/>
            <w:szCs w:val="24"/>
          </w:rPr>
          <w:t>McKechnie</w:t>
        </w:r>
        <w:r w:rsidR="006E2E1A" w:rsidRPr="00CF7D14">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23" w:tooltip="Wysoczynski, 2009 #176" w:history="1">
        <w:r w:rsidR="006E2E1A">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2" w:tooltip="Hedlund, 2011 #175" w:history="1">
        <w:r w:rsidR="006E2E1A">
          <w:rPr>
            <w:rFonts w:ascii="Times New Roman" w:hAnsi="Times New Roman" w:cs="Times New Roman"/>
            <w:noProof/>
            <w:sz w:val="24"/>
            <w:szCs w:val="24"/>
          </w:rPr>
          <w:t>Hedlund</w:t>
        </w:r>
        <w:r w:rsidR="006E2E1A" w:rsidRPr="00CF7D14">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6E2E1A">
          <w:rPr>
            <w:rFonts w:ascii="Times New Roman" w:hAnsi="Times New Roman" w:cs="Times New Roman"/>
            <w:noProof/>
            <w:sz w:val="24"/>
            <w:szCs w:val="24"/>
          </w:rPr>
          <w:t>Costa-Silva</w:t>
        </w:r>
        <w:r w:rsidR="006E2E1A" w:rsidRPr="00CF7D14">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0" w:tooltip="Ramteke, 2015 #178" w:history="1">
        <w:r w:rsidR="006E2E1A">
          <w:rPr>
            <w:rFonts w:ascii="Times New Roman" w:hAnsi="Times New Roman" w:cs="Times New Roman"/>
            <w:noProof/>
            <w:sz w:val="24"/>
            <w:szCs w:val="24"/>
          </w:rPr>
          <w:t>Ramteke</w:t>
        </w:r>
        <w:r w:rsidR="006E2E1A" w:rsidRPr="00CF7D14">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6E2E1A">
          <w:rPr>
            <w:rFonts w:ascii="Times New Roman" w:hAnsi="Times New Roman" w:cs="Times New Roman"/>
            <w:noProof/>
            <w:sz w:val="24"/>
            <w:szCs w:val="24"/>
          </w:rPr>
          <w:t>Dovrat</w:t>
        </w:r>
        <w:r w:rsidR="006E2E1A" w:rsidRPr="006E2E1A">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5" w:tooltip="Kharmate, 2016 #181" w:history="1">
        <w:r w:rsidR="006E2E1A">
          <w:rPr>
            <w:rFonts w:ascii="Times New Roman" w:hAnsi="Times New Roman" w:cs="Times New Roman"/>
            <w:noProof/>
            <w:sz w:val="24"/>
            <w:szCs w:val="24"/>
          </w:rPr>
          <w:t>Kharmate</w:t>
        </w:r>
        <w:r w:rsidR="006E2E1A" w:rsidRPr="006E2E1A">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1" w:tooltip="Song, 2016 #179" w:history="1">
        <w:r w:rsidR="006E2E1A">
          <w:rPr>
            <w:rFonts w:ascii="Times New Roman" w:hAnsi="Times New Roman" w:cs="Times New Roman"/>
            <w:noProof/>
            <w:sz w:val="24"/>
            <w:szCs w:val="24"/>
          </w:rPr>
          <w:t>Song</w:t>
        </w:r>
        <w:r w:rsidR="006E2E1A" w:rsidRPr="006E2E1A">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2EC569C7"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xml:space="preserve">) are derived from longer transcripts that undergo </w:t>
      </w:r>
      <w:r w:rsidRPr="00B4460E">
        <w:rPr>
          <w:rFonts w:ascii="Times New Roman" w:hAnsi="Times New Roman" w:cs="Times New Roman"/>
          <w:sz w:val="24"/>
          <w:szCs w:val="24"/>
        </w:rPr>
        <w:lastRenderedPageBreak/>
        <w:t>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0" w:tooltip="Ha, 2014 #151" w:history="1">
        <w:r w:rsidR="006E2E1A">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6E2E1A">
          <w:rPr>
            <w:rFonts w:ascii="Times New Roman" w:hAnsi="Times New Roman" w:cs="Times New Roman"/>
            <w:noProof/>
            <w:sz w:val="24"/>
            <w:szCs w:val="24"/>
          </w:rPr>
          <w:t>Djuranovic</w:t>
        </w:r>
        <w:r w:rsidR="006E2E1A" w:rsidRPr="006E2E1A">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bookmarkStart w:id="0" w:name="_GoBack"/>
      <w:bookmarkEnd w:id="0"/>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7" w:tooltip="Friedman, 2009 #153" w:history="1">
        <w:r w:rsidR="006E2E1A">
          <w:rPr>
            <w:rFonts w:ascii="Times New Roman" w:hAnsi="Times New Roman" w:cs="Times New Roman"/>
            <w:noProof/>
            <w:sz w:val="24"/>
            <w:szCs w:val="24"/>
          </w:rPr>
          <w:t>Friedman</w:t>
        </w:r>
        <w:r w:rsidR="006E2E1A" w:rsidRPr="006E2E1A">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 xml:space="preserve">translocation across extracellular space.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p>
    <w:p w14:paraId="2945066B" w14:textId="09FC4A92"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w:t>
      </w:r>
      <w:commentRangeStart w:id="1"/>
      <w:r w:rsidRPr="00B23259">
        <w:rPr>
          <w:rFonts w:ascii="Times New Roman" w:hAnsi="Times New Roman" w:cs="Times New Roman"/>
          <w:sz w:val="24"/>
          <w:szCs w:val="24"/>
        </w:rPr>
        <w:t>vest</w:t>
      </w:r>
      <w:commentRangeEnd w:id="1"/>
      <w:r>
        <w:rPr>
          <w:rStyle w:val="CommentReference"/>
        </w:rPr>
        <w:commentReference w:id="1"/>
      </w:r>
      <w:r w:rsidRPr="00B23259">
        <w:rPr>
          <w:rFonts w:ascii="Times New Roman" w:hAnsi="Times New Roman" w:cs="Times New Roman"/>
          <w:sz w:val="24"/>
          <w:szCs w:val="24"/>
        </w:rPr>
        <w:t xml:space="preserve">igate the role of </w:t>
      </w:r>
      <w:proofErr w:type="gramStart"/>
      <w:r w:rsidRPr="00B23259">
        <w:rPr>
          <w:rFonts w:ascii="Times New Roman" w:hAnsi="Times New Roman" w:cs="Times New Roman"/>
          <w:sz w:val="24"/>
          <w:szCs w:val="24"/>
        </w:rPr>
        <w:t>caveolin-1</w:t>
      </w:r>
      <w:proofErr w:type="gramEnd"/>
      <w:r w:rsidRPr="00B23259">
        <w:rPr>
          <w:rFonts w:ascii="Times New Roman" w:hAnsi="Times New Roman" w:cs="Times New Roman"/>
          <w:sz w:val="24"/>
          <w:szCs w:val="24"/>
        </w:rPr>
        <w:t xml:space="preserve"> in prostate cancer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 xml:space="preserve"> 2014)</w:t>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targeting </w:t>
      </w:r>
      <w:r w:rsidR="008F5494">
        <w:rPr>
          <w:rFonts w:ascii="Times New Roman" w:hAnsi="Times New Roman" w:cs="Times New Roman"/>
          <w:color w:val="FF0000"/>
          <w:sz w:val="24"/>
          <w:szCs w:val="24"/>
        </w:rPr>
        <w:t xml:space="preserve">an inhibitory transcription factor, MAFB, of the RANKL-induced </w:t>
      </w:r>
      <w:proofErr w:type="spellStart"/>
      <w:r w:rsidR="008F5494">
        <w:rPr>
          <w:rFonts w:ascii="Times New Roman" w:hAnsi="Times New Roman" w:cs="Times New Roman"/>
          <w:color w:val="FF0000"/>
          <w:sz w:val="24"/>
          <w:szCs w:val="24"/>
        </w:rPr>
        <w:t>osteoclastogenesis</w:t>
      </w:r>
      <w:proofErr w:type="spellEnd"/>
      <w:r w:rsidR="008F5494">
        <w:rPr>
          <w:rFonts w:ascii="Times New Roman" w:hAnsi="Times New Roman" w:cs="Times New Roman"/>
          <w:color w:val="FF0000"/>
          <w:sz w:val="24"/>
          <w:szCs w:val="24"/>
        </w:rPr>
        <w:t xml:space="preserve"> pathway,</w:t>
      </w:r>
      <w:r w:rsidR="00B54929">
        <w:rPr>
          <w:rFonts w:ascii="Times New Roman" w:hAnsi="Times New Roman" w:cs="Times New Roman"/>
          <w:sz w:val="24"/>
          <w:szCs w:val="24"/>
        </w:rPr>
        <w:t xml:space="preserve"> </w:t>
      </w:r>
      <w:r w:rsidR="00FB0D75">
        <w:rPr>
          <w:rFonts w:ascii="Times New Roman" w:hAnsi="Times New Roman" w:cs="Times New Roman"/>
          <w:sz w:val="24"/>
          <w:szCs w:val="24"/>
        </w:rPr>
        <w:t>where 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6E2E1A">
          <w:rPr>
            <w:rFonts w:ascii="Times New Roman" w:hAnsi="Times New Roman" w:cs="Times New Roman"/>
            <w:noProof/>
            <w:sz w:val="24"/>
            <w:szCs w:val="24"/>
          </w:rPr>
          <w:t>Cheng</w:t>
        </w:r>
        <w:r w:rsidR="006E2E1A" w:rsidRPr="00781013">
          <w:rPr>
            <w:rFonts w:ascii="Times New Roman" w:hAnsi="Times New Roman" w:cs="Times New Roman"/>
            <w:i/>
            <w:noProof/>
            <w:sz w:val="24"/>
            <w:szCs w:val="24"/>
          </w:rPr>
          <w:t xml:space="preserve"> et al.</w:t>
        </w:r>
        <w:r w:rsidR="006E2E1A">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increased </w:t>
      </w:r>
      <w:r w:rsidR="00FD76C4" w:rsidRPr="00FD76C4">
        <w:rPr>
          <w:rFonts w:ascii="Times New Roman" w:hAnsi="Times New Roman" w:cs="Times New Roman"/>
          <w:color w:val="FF0000"/>
          <w:sz w:val="24"/>
          <w:szCs w:val="24"/>
        </w:rPr>
        <w:t>bone degradation</w:t>
      </w:r>
      <w:r w:rsidR="000F02B1" w:rsidRPr="00FD76C4">
        <w:rPr>
          <w:rFonts w:ascii="Times New Roman" w:hAnsi="Times New Roman" w:cs="Times New Roman"/>
          <w:color w:val="FF0000"/>
          <w:sz w:val="24"/>
          <w:szCs w:val="24"/>
        </w:rPr>
        <w:t xml:space="preserve">. </w:t>
      </w:r>
      <w:r w:rsidR="000F02B1">
        <w:rPr>
          <w:rFonts w:ascii="Times New Roman" w:hAnsi="Times New Roman" w:cs="Times New Roman"/>
          <w:sz w:val="24"/>
          <w:szCs w:val="24"/>
        </w:rPr>
        <w:t xml:space="preserve">Therefore the export of miR-148a from pro-metastatic prostate cancer cell </w:t>
      </w:r>
      <w:r w:rsidR="000F02B1">
        <w:rPr>
          <w:rFonts w:ascii="Times New Roman" w:hAnsi="Times New Roman" w:cs="Times New Roman"/>
          <w:sz w:val="24"/>
          <w:szCs w:val="24"/>
        </w:rPr>
        <w:lastRenderedPageBreak/>
        <w:t>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 xml:space="preserve">been observed in other studies, some of which links these miRNAs with disease states particularly cancer metastasis. </w:t>
      </w:r>
      <w:r w:rsidR="00874CCF">
        <w:rPr>
          <w:rFonts w:ascii="Times New Roman" w:hAnsi="Times New Roman" w:cs="Times New Roman"/>
          <w:sz w:val="24"/>
          <w:szCs w:val="24"/>
        </w:rPr>
        <w:t xml:space="preserve">Yet, the mechanism that governs this selectively is mostly unknown. </w:t>
      </w:r>
    </w:p>
    <w:p w14:paraId="2C5345EE" w14:textId="362876F9"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proofErr w:type="gramStart"/>
      <w:r w:rsidR="00055C57" w:rsidRPr="004173A8">
        <w:t>et</w:t>
      </w:r>
      <w:proofErr w:type="gramEnd"/>
      <w:r w:rsidR="00055C57" w:rsidRPr="004173A8">
        <w:t xml:space="preserve">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 (</w:t>
      </w:r>
      <w:proofErr w:type="spellStart"/>
      <w:r w:rsidR="00055C57" w:rsidRPr="004173A8">
        <w:t>Villarroya-Beltri</w:t>
      </w:r>
      <w:proofErr w:type="spellEnd"/>
      <w:r w:rsidR="00055C57" w:rsidRPr="004173A8">
        <w:t xml:space="preserve"> </w:t>
      </w:r>
      <w:r w:rsidR="00055C57" w:rsidRPr="004173A8">
        <w:rPr>
          <w:i/>
          <w:iCs/>
        </w:rPr>
        <w:t xml:space="preserve">et al. </w:t>
      </w:r>
      <w:r w:rsidR="00055C57" w:rsidRPr="004173A8">
        <w:t>2013).</w:t>
      </w:r>
      <w:r w:rsidR="00055C57">
        <w:t xml:space="preserve"> 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 Further questions arise due to this finding, such as the use of other </w:t>
      </w:r>
      <w:proofErr w:type="spellStart"/>
      <w:r w:rsidR="00055C57">
        <w:t>hnRNP</w:t>
      </w:r>
      <w:proofErr w:type="spellEnd"/>
      <w:r w:rsidR="00055C57">
        <w:t xml:space="preserve"> proteins for this function,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lastRenderedPageBreak/>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B4460E" w:rsidRDefault="00B4460E" w:rsidP="00B23259">
      <w:pPr>
        <w:spacing w:line="480" w:lineRule="auto"/>
        <w:rPr>
          <w:rFonts w:ascii="Times New Roman" w:hAnsi="Times New Roman" w:cs="Times New Roman"/>
          <w:sz w:val="24"/>
          <w:szCs w:val="24"/>
        </w:rPr>
      </w:pPr>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D756A59" w14:textId="77777777" w:rsidR="00E05117" w:rsidRDefault="00461480" w:rsidP="008A65F4">
      <w:r>
        <w:t xml:space="preserve">   </w:t>
      </w:r>
      <w:r w:rsidR="00287666">
        <w:t xml:space="preserve"> </w:t>
      </w:r>
      <w:r w:rsidR="00A27B39">
        <w:t xml:space="preserve">   </w:t>
      </w:r>
    </w:p>
    <w:p w14:paraId="4CA7B97A" w14:textId="77777777" w:rsidR="00E05117" w:rsidRDefault="00E05117" w:rsidP="008A65F4"/>
    <w:p w14:paraId="759B1153" w14:textId="77777777" w:rsidR="006E2E1A" w:rsidRPr="006E2E1A" w:rsidRDefault="00E05117" w:rsidP="006E2E1A">
      <w:pPr>
        <w:pStyle w:val="EndNoteBibliography"/>
        <w:ind w:firstLine="0"/>
      </w:pPr>
      <w:r>
        <w:fldChar w:fldCharType="begin"/>
      </w:r>
      <w:r>
        <w:instrText xml:space="preserve"> ADDIN EN.REFLIST </w:instrText>
      </w:r>
      <w:r>
        <w:fldChar w:fldCharType="separate"/>
      </w:r>
      <w:bookmarkStart w:id="2" w:name="_ENREF_1"/>
      <w:r w:rsidR="006E2E1A" w:rsidRPr="006E2E1A">
        <w:t xml:space="preserve">Bubendorf, L., A. Schöpfer, U. Wagner, G. Sauter, H. Moch, N. Willi, T. C. Gasser and M. J. Mihatsch (2000). "Metastatic patterns of prostate cancer: An autopsy study of 1,589 patients." </w:t>
      </w:r>
      <w:r w:rsidR="006E2E1A" w:rsidRPr="006E2E1A">
        <w:rPr>
          <w:u w:val="single"/>
        </w:rPr>
        <w:t>Human Pathology</w:t>
      </w:r>
      <w:r w:rsidR="006E2E1A" w:rsidRPr="006E2E1A">
        <w:t xml:space="preserve"> </w:t>
      </w:r>
      <w:r w:rsidR="006E2E1A" w:rsidRPr="006E2E1A">
        <w:rPr>
          <w:b/>
        </w:rPr>
        <w:t>31</w:t>
      </w:r>
      <w:r w:rsidR="006E2E1A" w:rsidRPr="006E2E1A">
        <w:t>(5): 578-583.</w:t>
      </w:r>
    </w:p>
    <w:bookmarkEnd w:id="2"/>
    <w:p w14:paraId="39685346" w14:textId="77777777" w:rsidR="006E2E1A" w:rsidRPr="006E2E1A" w:rsidRDefault="006E2E1A" w:rsidP="006E2E1A">
      <w:pPr>
        <w:pStyle w:val="EndNoteBibliography"/>
        <w:spacing w:after="0"/>
        <w:ind w:firstLine="0"/>
      </w:pPr>
    </w:p>
    <w:p w14:paraId="7E8ECB18" w14:textId="77777777" w:rsidR="006E2E1A" w:rsidRPr="006E2E1A" w:rsidRDefault="006E2E1A" w:rsidP="006E2E1A">
      <w:pPr>
        <w:pStyle w:val="EndNoteBibliography"/>
        <w:ind w:firstLine="0"/>
      </w:pPr>
      <w:bookmarkStart w:id="3" w:name="_ENREF_2"/>
      <w:r w:rsidRPr="006E2E1A">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6E2E1A">
        <w:rPr>
          <w:u w:val="single"/>
        </w:rPr>
        <w:t>Scientific Reports</w:t>
      </w:r>
      <w:r w:rsidRPr="006E2E1A">
        <w:t xml:space="preserve"> </w:t>
      </w:r>
      <w:r w:rsidRPr="006E2E1A">
        <w:rPr>
          <w:b/>
        </w:rPr>
        <w:t>5</w:t>
      </w:r>
      <w:r w:rsidRPr="006E2E1A">
        <w:t>: 10867.</w:t>
      </w:r>
    </w:p>
    <w:bookmarkEnd w:id="3"/>
    <w:p w14:paraId="238D8409" w14:textId="77777777" w:rsidR="006E2E1A" w:rsidRPr="006E2E1A" w:rsidRDefault="006E2E1A" w:rsidP="006E2E1A">
      <w:pPr>
        <w:pStyle w:val="EndNoteBibliography"/>
        <w:spacing w:after="0"/>
        <w:ind w:firstLine="0"/>
      </w:pPr>
    </w:p>
    <w:p w14:paraId="0800EF16" w14:textId="77777777" w:rsidR="006E2E1A" w:rsidRPr="006E2E1A" w:rsidRDefault="006E2E1A" w:rsidP="006E2E1A">
      <w:pPr>
        <w:pStyle w:val="EndNoteBibliography"/>
        <w:ind w:firstLine="0"/>
      </w:pPr>
      <w:bookmarkStart w:id="4" w:name="_ENREF_3"/>
      <w:r w:rsidRPr="006E2E1A">
        <w:t xml:space="preserve">Cheng, P., C. Chen, H. B. He, R. Hu, H. D. Zhou, H. Xie, W. Zhu, R. C. Dai, X. P. Wu, E. Y. Liao and X. H. Luo (2013). "miR-148a regulates osteoclastogenesis by targeting V-maf musculoaponeurotic fibrosarcoma oncogene homolog B." </w:t>
      </w:r>
      <w:r w:rsidRPr="006E2E1A">
        <w:rPr>
          <w:u w:val="single"/>
        </w:rPr>
        <w:t>J Bone Miner Res</w:t>
      </w:r>
      <w:r w:rsidRPr="006E2E1A">
        <w:t xml:space="preserve"> </w:t>
      </w:r>
      <w:r w:rsidRPr="006E2E1A">
        <w:rPr>
          <w:b/>
        </w:rPr>
        <w:t>28</w:t>
      </w:r>
      <w:r w:rsidRPr="006E2E1A">
        <w:t>(5): 1180-1190.</w:t>
      </w:r>
    </w:p>
    <w:bookmarkEnd w:id="4"/>
    <w:p w14:paraId="1B7E05AE" w14:textId="77777777" w:rsidR="006E2E1A" w:rsidRPr="006E2E1A" w:rsidRDefault="006E2E1A" w:rsidP="006E2E1A">
      <w:pPr>
        <w:pStyle w:val="EndNoteBibliography"/>
        <w:spacing w:after="0"/>
        <w:ind w:firstLine="0"/>
      </w:pPr>
    </w:p>
    <w:p w14:paraId="71F2795F" w14:textId="77777777" w:rsidR="006E2E1A" w:rsidRPr="006E2E1A" w:rsidRDefault="006E2E1A" w:rsidP="006E2E1A">
      <w:pPr>
        <w:pStyle w:val="EndNoteBibliography"/>
        <w:ind w:firstLine="0"/>
      </w:pPr>
      <w:bookmarkStart w:id="5" w:name="_ENREF_4"/>
      <w:r w:rsidRPr="006E2E1A">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6E2E1A">
        <w:rPr>
          <w:u w:val="single"/>
        </w:rPr>
        <w:t>Nat Cell Biol</w:t>
      </w:r>
      <w:r w:rsidRPr="006E2E1A">
        <w:t xml:space="preserve"> </w:t>
      </w:r>
      <w:r w:rsidRPr="006E2E1A">
        <w:rPr>
          <w:b/>
        </w:rPr>
        <w:t>17</w:t>
      </w:r>
      <w:r w:rsidRPr="006E2E1A">
        <w:t>(6): 816-826.</w:t>
      </w:r>
    </w:p>
    <w:bookmarkEnd w:id="5"/>
    <w:p w14:paraId="3FA856DE" w14:textId="77777777" w:rsidR="006E2E1A" w:rsidRPr="006E2E1A" w:rsidRDefault="006E2E1A" w:rsidP="006E2E1A">
      <w:pPr>
        <w:pStyle w:val="EndNoteBibliography"/>
        <w:spacing w:after="0"/>
        <w:ind w:firstLine="0"/>
      </w:pPr>
    </w:p>
    <w:p w14:paraId="3ABB88FC" w14:textId="77777777" w:rsidR="006E2E1A" w:rsidRPr="006E2E1A" w:rsidRDefault="006E2E1A" w:rsidP="006E2E1A">
      <w:pPr>
        <w:pStyle w:val="EndNoteBibliography"/>
        <w:ind w:firstLine="0"/>
      </w:pPr>
      <w:bookmarkStart w:id="6" w:name="_ENREF_5"/>
      <w:r w:rsidRPr="006E2E1A">
        <w:t xml:space="preserve">Djuranovic, S., A. Nahvi and R. Green (2012). "miRNA-Mediated Gene Silencing by Translational Repression Followed by mRNA Deadenylation and Decay." </w:t>
      </w:r>
      <w:r w:rsidRPr="006E2E1A">
        <w:rPr>
          <w:u w:val="single"/>
        </w:rPr>
        <w:t>Science</w:t>
      </w:r>
      <w:r w:rsidRPr="006E2E1A">
        <w:t xml:space="preserve"> </w:t>
      </w:r>
      <w:r w:rsidRPr="006E2E1A">
        <w:rPr>
          <w:b/>
        </w:rPr>
        <w:t>336</w:t>
      </w:r>
      <w:r w:rsidRPr="006E2E1A">
        <w:t>(6078): 237-240.</w:t>
      </w:r>
    </w:p>
    <w:bookmarkEnd w:id="6"/>
    <w:p w14:paraId="07DA1F7F" w14:textId="77777777" w:rsidR="006E2E1A" w:rsidRPr="006E2E1A" w:rsidRDefault="006E2E1A" w:rsidP="006E2E1A">
      <w:pPr>
        <w:pStyle w:val="EndNoteBibliography"/>
        <w:spacing w:after="0"/>
        <w:ind w:firstLine="0"/>
      </w:pPr>
    </w:p>
    <w:p w14:paraId="0009F2F8" w14:textId="77777777" w:rsidR="006E2E1A" w:rsidRPr="006E2E1A" w:rsidRDefault="006E2E1A" w:rsidP="006E2E1A">
      <w:pPr>
        <w:pStyle w:val="EndNoteBibliography"/>
        <w:ind w:firstLine="0"/>
      </w:pPr>
      <w:bookmarkStart w:id="7" w:name="_ENREF_6"/>
      <w:r w:rsidRPr="006E2E1A">
        <w:t xml:space="preserve">Dovrat, S., M. Caspi, A. Zilberberg, L. Lahav, A. Firsow, H. Gur and R. Rosin-Arbesfeld (2014). "14-3-3 and β-catenin are secreted on extracellular vesicles to activate the oncogenic Wnt pathway." </w:t>
      </w:r>
      <w:r w:rsidRPr="006E2E1A">
        <w:rPr>
          <w:u w:val="single"/>
        </w:rPr>
        <w:t>Molecular Oncology</w:t>
      </w:r>
      <w:r w:rsidRPr="006E2E1A">
        <w:t xml:space="preserve"> </w:t>
      </w:r>
      <w:r w:rsidRPr="006E2E1A">
        <w:rPr>
          <w:b/>
        </w:rPr>
        <w:t>8</w:t>
      </w:r>
      <w:r w:rsidRPr="006E2E1A">
        <w:t>(5): 894-911.</w:t>
      </w:r>
    </w:p>
    <w:bookmarkEnd w:id="7"/>
    <w:p w14:paraId="5127F678" w14:textId="77777777" w:rsidR="006E2E1A" w:rsidRPr="006E2E1A" w:rsidRDefault="006E2E1A" w:rsidP="006E2E1A">
      <w:pPr>
        <w:pStyle w:val="EndNoteBibliography"/>
        <w:spacing w:after="0"/>
        <w:ind w:firstLine="0"/>
      </w:pPr>
    </w:p>
    <w:p w14:paraId="4DD09D38" w14:textId="77777777" w:rsidR="006E2E1A" w:rsidRPr="006E2E1A" w:rsidRDefault="006E2E1A" w:rsidP="006E2E1A">
      <w:pPr>
        <w:pStyle w:val="EndNoteBibliography"/>
        <w:ind w:firstLine="0"/>
      </w:pPr>
      <w:bookmarkStart w:id="8" w:name="_ENREF_7"/>
      <w:r w:rsidRPr="006E2E1A">
        <w:t xml:space="preserve">Friedman, R. C., K. K. Farh, C. B. Burge and D. P. Bartel (2009). "Most mammalian mRNAs are conserved targets of microRNAs." </w:t>
      </w:r>
      <w:r w:rsidRPr="006E2E1A">
        <w:rPr>
          <w:u w:val="single"/>
        </w:rPr>
        <w:t>Genome Res</w:t>
      </w:r>
      <w:r w:rsidRPr="006E2E1A">
        <w:t xml:space="preserve"> </w:t>
      </w:r>
      <w:r w:rsidRPr="006E2E1A">
        <w:rPr>
          <w:b/>
        </w:rPr>
        <w:t>19</w:t>
      </w:r>
      <w:r w:rsidRPr="006E2E1A">
        <w:t>(1): 92-105.</w:t>
      </w:r>
    </w:p>
    <w:bookmarkEnd w:id="8"/>
    <w:p w14:paraId="57F31069" w14:textId="77777777" w:rsidR="006E2E1A" w:rsidRPr="006E2E1A" w:rsidRDefault="006E2E1A" w:rsidP="006E2E1A">
      <w:pPr>
        <w:pStyle w:val="EndNoteBibliography"/>
        <w:spacing w:after="0"/>
        <w:ind w:firstLine="0"/>
      </w:pPr>
    </w:p>
    <w:p w14:paraId="4565F759" w14:textId="77777777" w:rsidR="006E2E1A" w:rsidRPr="006E2E1A" w:rsidRDefault="006E2E1A" w:rsidP="006E2E1A">
      <w:pPr>
        <w:pStyle w:val="EndNoteBibliography"/>
        <w:ind w:firstLine="0"/>
      </w:pPr>
      <w:bookmarkStart w:id="9" w:name="_ENREF_8"/>
      <w:r w:rsidRPr="006E2E1A">
        <w:lastRenderedPageBreak/>
        <w:t xml:space="preserve">Grande-García, A., A. Echarri, J. de Rooij, N. B. Alderson, C. M. Waterman-Storer, J. M. Valdivielso and M. A. del Pozo (2007). "Caveolin-1 regulates cell polarization and directional migration through Src kinase and Rho GTPases." </w:t>
      </w:r>
      <w:r w:rsidRPr="006E2E1A">
        <w:rPr>
          <w:u w:val="single"/>
        </w:rPr>
        <w:t>The Journal of Cell Biology</w:t>
      </w:r>
      <w:r w:rsidRPr="006E2E1A">
        <w:t xml:space="preserve"> </w:t>
      </w:r>
      <w:r w:rsidRPr="006E2E1A">
        <w:rPr>
          <w:b/>
        </w:rPr>
        <w:t>177</w:t>
      </w:r>
      <w:r w:rsidRPr="006E2E1A">
        <w:t>(4): 683-694.</w:t>
      </w:r>
    </w:p>
    <w:bookmarkEnd w:id="9"/>
    <w:p w14:paraId="61F8E17C" w14:textId="77777777" w:rsidR="006E2E1A" w:rsidRPr="006E2E1A" w:rsidRDefault="006E2E1A" w:rsidP="006E2E1A">
      <w:pPr>
        <w:pStyle w:val="EndNoteBibliography"/>
        <w:spacing w:after="0"/>
        <w:ind w:firstLine="0"/>
      </w:pPr>
    </w:p>
    <w:p w14:paraId="6C4C4E8D" w14:textId="77777777" w:rsidR="006E2E1A" w:rsidRPr="006E2E1A" w:rsidRDefault="006E2E1A" w:rsidP="006E2E1A">
      <w:pPr>
        <w:pStyle w:val="EndNoteBibliography"/>
        <w:ind w:firstLine="0"/>
      </w:pPr>
      <w:bookmarkStart w:id="10" w:name="_ENREF_9"/>
      <w:r w:rsidRPr="006E2E1A">
        <w:t xml:space="preserve">Gumulec, J., J. Sochor, M. Hlavna, M. Sztalmachova, S. Krizkova, P. Babula, R. Hrabec, A. Rovny, V. Adam, T. Eckschlager, R. Kizek and M. Masarik (2012). "Caveolin-1 as a potential high-risk prostate cancer biomarker." </w:t>
      </w:r>
      <w:r w:rsidRPr="006E2E1A">
        <w:rPr>
          <w:u w:val="single"/>
        </w:rPr>
        <w:t>Oncology Reports</w:t>
      </w:r>
      <w:r w:rsidRPr="006E2E1A">
        <w:t xml:space="preserve"> </w:t>
      </w:r>
      <w:r w:rsidRPr="006E2E1A">
        <w:rPr>
          <w:b/>
        </w:rPr>
        <w:t>27</w:t>
      </w:r>
      <w:r w:rsidRPr="006E2E1A">
        <w:t>(3): 831-841.</w:t>
      </w:r>
    </w:p>
    <w:bookmarkEnd w:id="10"/>
    <w:p w14:paraId="15A950A1" w14:textId="77777777" w:rsidR="006E2E1A" w:rsidRPr="006E2E1A" w:rsidRDefault="006E2E1A" w:rsidP="006E2E1A">
      <w:pPr>
        <w:pStyle w:val="EndNoteBibliography"/>
        <w:spacing w:after="0"/>
        <w:ind w:firstLine="0"/>
      </w:pPr>
    </w:p>
    <w:p w14:paraId="0EF347BB" w14:textId="77777777" w:rsidR="006E2E1A" w:rsidRPr="006E2E1A" w:rsidRDefault="006E2E1A" w:rsidP="006E2E1A">
      <w:pPr>
        <w:pStyle w:val="EndNoteBibliography"/>
        <w:ind w:firstLine="0"/>
      </w:pPr>
      <w:bookmarkStart w:id="11" w:name="_ENREF_10"/>
      <w:r w:rsidRPr="006E2E1A">
        <w:t xml:space="preserve">Ha, M. and V. N. Kim (2014). "Regulation of microRNA biogenesis." </w:t>
      </w:r>
      <w:r w:rsidRPr="006E2E1A">
        <w:rPr>
          <w:u w:val="single"/>
        </w:rPr>
        <w:t>Nat Rev Mol Cell Biol</w:t>
      </w:r>
      <w:r w:rsidRPr="006E2E1A">
        <w:t xml:space="preserve"> </w:t>
      </w:r>
      <w:r w:rsidRPr="006E2E1A">
        <w:rPr>
          <w:b/>
        </w:rPr>
        <w:t>15</w:t>
      </w:r>
      <w:r w:rsidRPr="006E2E1A">
        <w:t>(8): 509-524.</w:t>
      </w:r>
    </w:p>
    <w:bookmarkEnd w:id="11"/>
    <w:p w14:paraId="5746F0BF" w14:textId="77777777" w:rsidR="006E2E1A" w:rsidRPr="006E2E1A" w:rsidRDefault="006E2E1A" w:rsidP="006E2E1A">
      <w:pPr>
        <w:pStyle w:val="EndNoteBibliography"/>
        <w:spacing w:after="0"/>
        <w:ind w:firstLine="0"/>
      </w:pPr>
    </w:p>
    <w:p w14:paraId="1518B421" w14:textId="77777777" w:rsidR="006E2E1A" w:rsidRPr="006E2E1A" w:rsidRDefault="006E2E1A" w:rsidP="006E2E1A">
      <w:pPr>
        <w:pStyle w:val="EndNoteBibliography"/>
        <w:ind w:firstLine="0"/>
      </w:pPr>
      <w:bookmarkStart w:id="12" w:name="_ENREF_11"/>
      <w:r w:rsidRPr="006E2E1A">
        <w:t xml:space="preserve">Hayashi, T., T. Ichimura, N. Yaegashi, T. Shiozawa and I. Konishi (2015). "Expression of CAVEOLIN 1 in uterine mesenchymal tumors: No relationship between malignancy and CAVEOLIN 1 expression." </w:t>
      </w:r>
      <w:r w:rsidRPr="006E2E1A">
        <w:rPr>
          <w:u w:val="single"/>
        </w:rPr>
        <w:t>Biochemical and Biophysical Research Communications</w:t>
      </w:r>
      <w:r w:rsidRPr="006E2E1A">
        <w:t xml:space="preserve"> </w:t>
      </w:r>
      <w:r w:rsidRPr="006E2E1A">
        <w:rPr>
          <w:b/>
        </w:rPr>
        <w:t>463</w:t>
      </w:r>
      <w:r w:rsidRPr="006E2E1A">
        <w:t>(4): 982-987.</w:t>
      </w:r>
    </w:p>
    <w:bookmarkEnd w:id="12"/>
    <w:p w14:paraId="2C905AE4" w14:textId="77777777" w:rsidR="006E2E1A" w:rsidRPr="006E2E1A" w:rsidRDefault="006E2E1A" w:rsidP="006E2E1A">
      <w:pPr>
        <w:pStyle w:val="EndNoteBibliography"/>
        <w:spacing w:after="0"/>
        <w:ind w:firstLine="0"/>
      </w:pPr>
    </w:p>
    <w:p w14:paraId="28232C98" w14:textId="77777777" w:rsidR="006E2E1A" w:rsidRPr="006E2E1A" w:rsidRDefault="006E2E1A" w:rsidP="006E2E1A">
      <w:pPr>
        <w:pStyle w:val="EndNoteBibliography"/>
        <w:ind w:firstLine="0"/>
      </w:pPr>
      <w:bookmarkStart w:id="13" w:name="_ENREF_12"/>
      <w:r w:rsidRPr="006E2E1A">
        <w:t xml:space="preserve">Hedlund, M., O. Nagaeva, D. Kargl, V. Baranov and L. Mincheva-Nilsson (2011). "Thermal- and Oxidative Stress Causes Enhanced Release of NKG2D Ligand-Bearing Immunosuppressive Exosomes in Leukemia/Lymphoma T and B Cells." </w:t>
      </w:r>
      <w:r w:rsidRPr="006E2E1A">
        <w:rPr>
          <w:u w:val="single"/>
        </w:rPr>
        <w:t>PLoS ONE</w:t>
      </w:r>
      <w:r w:rsidRPr="006E2E1A">
        <w:t xml:space="preserve"> </w:t>
      </w:r>
      <w:r w:rsidRPr="006E2E1A">
        <w:rPr>
          <w:b/>
        </w:rPr>
        <w:t>6</w:t>
      </w:r>
      <w:r w:rsidRPr="006E2E1A">
        <w:t>(2): e16899.</w:t>
      </w:r>
    </w:p>
    <w:bookmarkEnd w:id="13"/>
    <w:p w14:paraId="0ABBF6C7" w14:textId="77777777" w:rsidR="006E2E1A" w:rsidRPr="006E2E1A" w:rsidRDefault="006E2E1A" w:rsidP="006E2E1A">
      <w:pPr>
        <w:pStyle w:val="EndNoteBibliography"/>
        <w:spacing w:after="0"/>
        <w:ind w:firstLine="0"/>
      </w:pPr>
    </w:p>
    <w:p w14:paraId="6FCD00E2" w14:textId="77777777" w:rsidR="006E2E1A" w:rsidRPr="006E2E1A" w:rsidRDefault="006E2E1A" w:rsidP="006E2E1A">
      <w:pPr>
        <w:pStyle w:val="EndNoteBibliography"/>
        <w:ind w:firstLine="0"/>
      </w:pPr>
      <w:bookmarkStart w:id="14" w:name="_ENREF_13"/>
      <w:r w:rsidRPr="006E2E1A">
        <w:t xml:space="preserve">Hill, M. M., M. Bastiani, R. Luetterforst, M. Kirkham, A. Kirkham, S. J. Nixon, P. Walser, D. Abankwa, V. M. J. Oorschot, S. Martin, J. F. Hancock and R. G. Parton (2008). "PTRF-Cavin, a Conserved Cytoplasmic Protein Required for Caveola Formation and Function." </w:t>
      </w:r>
      <w:r w:rsidRPr="006E2E1A">
        <w:rPr>
          <w:u w:val="single"/>
        </w:rPr>
        <w:t>Cell</w:t>
      </w:r>
      <w:r w:rsidRPr="006E2E1A">
        <w:t xml:space="preserve"> </w:t>
      </w:r>
      <w:r w:rsidRPr="006E2E1A">
        <w:rPr>
          <w:b/>
        </w:rPr>
        <w:t>132</w:t>
      </w:r>
      <w:r w:rsidRPr="006E2E1A">
        <w:t>(1): 113-124.</w:t>
      </w:r>
    </w:p>
    <w:bookmarkEnd w:id="14"/>
    <w:p w14:paraId="0E678659" w14:textId="77777777" w:rsidR="006E2E1A" w:rsidRPr="006E2E1A" w:rsidRDefault="006E2E1A" w:rsidP="006E2E1A">
      <w:pPr>
        <w:pStyle w:val="EndNoteBibliography"/>
        <w:spacing w:after="0"/>
        <w:ind w:firstLine="0"/>
      </w:pPr>
    </w:p>
    <w:p w14:paraId="6ED9A23C" w14:textId="77777777" w:rsidR="006E2E1A" w:rsidRPr="006E2E1A" w:rsidRDefault="006E2E1A" w:rsidP="006E2E1A">
      <w:pPr>
        <w:pStyle w:val="EndNoteBibliography"/>
        <w:ind w:firstLine="0"/>
      </w:pPr>
      <w:bookmarkStart w:id="15" w:name="_ENREF_14"/>
      <w:r w:rsidRPr="006E2E1A">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6E2E1A">
        <w:rPr>
          <w:u w:val="single"/>
        </w:rPr>
        <w:t>J Extracell Vesicles</w:t>
      </w:r>
      <w:r w:rsidRPr="006E2E1A">
        <w:t xml:space="preserve"> </w:t>
      </w:r>
      <w:r w:rsidRPr="006E2E1A">
        <w:rPr>
          <w:b/>
        </w:rPr>
        <w:t>3</w:t>
      </w:r>
      <w:r w:rsidRPr="006E2E1A">
        <w:t>.</w:t>
      </w:r>
    </w:p>
    <w:bookmarkEnd w:id="15"/>
    <w:p w14:paraId="44CBBCB4" w14:textId="77777777" w:rsidR="006E2E1A" w:rsidRPr="006E2E1A" w:rsidRDefault="006E2E1A" w:rsidP="006E2E1A">
      <w:pPr>
        <w:pStyle w:val="EndNoteBibliography"/>
        <w:spacing w:after="0"/>
        <w:ind w:firstLine="0"/>
      </w:pPr>
    </w:p>
    <w:p w14:paraId="34AE7F84" w14:textId="77777777" w:rsidR="006E2E1A" w:rsidRPr="006E2E1A" w:rsidRDefault="006E2E1A" w:rsidP="006E2E1A">
      <w:pPr>
        <w:pStyle w:val="EndNoteBibliography"/>
        <w:ind w:firstLine="0"/>
      </w:pPr>
      <w:bookmarkStart w:id="16" w:name="_ENREF_15"/>
      <w:r w:rsidRPr="006E2E1A">
        <w:t xml:space="preserve">Kharmate, G., E. Hosseini-Beheshti, J. Caradec, M. Y. Chin and E. S. Tomlinson Guns (2016). "Epidermal Growth Factor Receptor in Prostate Cancer Derived Exosomes." </w:t>
      </w:r>
      <w:r w:rsidRPr="006E2E1A">
        <w:rPr>
          <w:u w:val="single"/>
        </w:rPr>
        <w:t>PLoS ONE</w:t>
      </w:r>
      <w:r w:rsidRPr="006E2E1A">
        <w:t xml:space="preserve"> </w:t>
      </w:r>
      <w:r w:rsidRPr="006E2E1A">
        <w:rPr>
          <w:b/>
        </w:rPr>
        <w:t>11</w:t>
      </w:r>
      <w:r w:rsidRPr="006E2E1A">
        <w:t>(5): e0154967.</w:t>
      </w:r>
    </w:p>
    <w:bookmarkEnd w:id="16"/>
    <w:p w14:paraId="40A7A64C" w14:textId="77777777" w:rsidR="006E2E1A" w:rsidRPr="006E2E1A" w:rsidRDefault="006E2E1A" w:rsidP="006E2E1A">
      <w:pPr>
        <w:pStyle w:val="EndNoteBibliography"/>
        <w:spacing w:after="0"/>
        <w:ind w:firstLine="0"/>
      </w:pPr>
    </w:p>
    <w:p w14:paraId="04C8FF51" w14:textId="77777777" w:rsidR="006E2E1A" w:rsidRPr="006E2E1A" w:rsidRDefault="006E2E1A" w:rsidP="006E2E1A">
      <w:pPr>
        <w:pStyle w:val="EndNoteBibliography"/>
        <w:ind w:firstLine="0"/>
      </w:pPr>
      <w:bookmarkStart w:id="17" w:name="_ENREF_16"/>
      <w:r w:rsidRPr="006E2E1A">
        <w:t xml:space="preserve">McKechnie, N. M., B. C. R. King, E. Fletcher and G. Braun (2006). "Fas-ligand is stored in secretory lysosomes of ocular barrier epithelia and released with microvesicles." </w:t>
      </w:r>
      <w:r w:rsidRPr="006E2E1A">
        <w:rPr>
          <w:u w:val="single"/>
        </w:rPr>
        <w:t>Experimental Eye Research</w:t>
      </w:r>
      <w:r w:rsidRPr="006E2E1A">
        <w:t xml:space="preserve"> </w:t>
      </w:r>
      <w:r w:rsidRPr="006E2E1A">
        <w:rPr>
          <w:b/>
        </w:rPr>
        <w:t>83</w:t>
      </w:r>
      <w:r w:rsidRPr="006E2E1A">
        <w:t>(2): 304-314.</w:t>
      </w:r>
    </w:p>
    <w:bookmarkEnd w:id="17"/>
    <w:p w14:paraId="08F87102" w14:textId="77777777" w:rsidR="006E2E1A" w:rsidRPr="006E2E1A" w:rsidRDefault="006E2E1A" w:rsidP="006E2E1A">
      <w:pPr>
        <w:pStyle w:val="EndNoteBibliography"/>
        <w:spacing w:after="0"/>
        <w:ind w:firstLine="0"/>
      </w:pPr>
    </w:p>
    <w:p w14:paraId="157A01DE" w14:textId="77777777" w:rsidR="006E2E1A" w:rsidRPr="006E2E1A" w:rsidRDefault="006E2E1A" w:rsidP="006E2E1A">
      <w:pPr>
        <w:pStyle w:val="EndNoteBibliography"/>
        <w:ind w:firstLine="0"/>
      </w:pPr>
      <w:bookmarkStart w:id="18" w:name="_ENREF_17"/>
      <w:r w:rsidRPr="006E2E1A">
        <w:t xml:space="preserve">Moon, H., C. S. Lee, K. L. Inder, S. Sharma, E. Choi, D. M. Black, K. A. Le Cao, C. Winterford, J. I. Coward, M. T. Ling, D. J. Craik, R. G. Parton, P. J. Russell and M. M. Hill (2014). "PTRF/cavin-1 neutralizes non-caveolar caveolin-1 microdomains in prostate cancer." </w:t>
      </w:r>
      <w:r w:rsidRPr="006E2E1A">
        <w:rPr>
          <w:u w:val="single"/>
        </w:rPr>
        <w:t>Oncogene</w:t>
      </w:r>
      <w:r w:rsidRPr="006E2E1A">
        <w:t xml:space="preserve"> </w:t>
      </w:r>
      <w:r w:rsidRPr="006E2E1A">
        <w:rPr>
          <w:b/>
        </w:rPr>
        <w:t>33</w:t>
      </w:r>
      <w:r w:rsidRPr="006E2E1A">
        <w:t>(27): 3561-3570.</w:t>
      </w:r>
    </w:p>
    <w:bookmarkEnd w:id="18"/>
    <w:p w14:paraId="7D4490F9" w14:textId="77777777" w:rsidR="006E2E1A" w:rsidRPr="006E2E1A" w:rsidRDefault="006E2E1A" w:rsidP="006E2E1A">
      <w:pPr>
        <w:pStyle w:val="EndNoteBibliography"/>
        <w:spacing w:after="0"/>
        <w:ind w:firstLine="0"/>
      </w:pPr>
    </w:p>
    <w:p w14:paraId="6EC12EFE" w14:textId="77777777" w:rsidR="006E2E1A" w:rsidRPr="006E2E1A" w:rsidRDefault="006E2E1A" w:rsidP="006E2E1A">
      <w:pPr>
        <w:pStyle w:val="EndNoteBibliography"/>
        <w:ind w:firstLine="0"/>
      </w:pPr>
      <w:bookmarkStart w:id="19" w:name="_ENREF_18"/>
      <w:r w:rsidRPr="006E2E1A">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6E2E1A">
        <w:rPr>
          <w:u w:val="single"/>
        </w:rPr>
        <w:t>Scientific Reports</w:t>
      </w:r>
      <w:r w:rsidRPr="006E2E1A">
        <w:t xml:space="preserve"> </w:t>
      </w:r>
      <w:r w:rsidRPr="006E2E1A">
        <w:rPr>
          <w:b/>
        </w:rPr>
        <w:t>5</w:t>
      </w:r>
      <w:r w:rsidRPr="006E2E1A">
        <w:t>.</w:t>
      </w:r>
    </w:p>
    <w:bookmarkEnd w:id="19"/>
    <w:p w14:paraId="73289C1C" w14:textId="77777777" w:rsidR="006E2E1A" w:rsidRPr="006E2E1A" w:rsidRDefault="006E2E1A" w:rsidP="006E2E1A">
      <w:pPr>
        <w:pStyle w:val="EndNoteBibliography"/>
        <w:spacing w:after="0"/>
        <w:ind w:firstLine="0"/>
      </w:pPr>
    </w:p>
    <w:p w14:paraId="43B02A6B" w14:textId="77777777" w:rsidR="006E2E1A" w:rsidRPr="006E2E1A" w:rsidRDefault="006E2E1A" w:rsidP="006E2E1A">
      <w:pPr>
        <w:pStyle w:val="EndNoteBibliography"/>
        <w:ind w:firstLine="0"/>
      </w:pPr>
      <w:bookmarkStart w:id="20" w:name="_ENREF_19"/>
      <w:r w:rsidRPr="006E2E1A">
        <w:lastRenderedPageBreak/>
        <w:t xml:space="preserve">Pegtel, D. M., L. Peferoen and S. Amor (2014). "Extracellular vesicles as modulators of cell-to-cell communication in the healthy and diseased brain." </w:t>
      </w:r>
      <w:r w:rsidRPr="006E2E1A">
        <w:rPr>
          <w:u w:val="single"/>
        </w:rPr>
        <w:t>Philosophical Transactions of the Royal Society B: Biological Sciences</w:t>
      </w:r>
      <w:r w:rsidRPr="006E2E1A">
        <w:t xml:space="preserve"> </w:t>
      </w:r>
      <w:r w:rsidRPr="006E2E1A">
        <w:rPr>
          <w:b/>
        </w:rPr>
        <w:t>369</w:t>
      </w:r>
      <w:r w:rsidRPr="006E2E1A">
        <w:t>(1652): 20130516.</w:t>
      </w:r>
    </w:p>
    <w:bookmarkEnd w:id="20"/>
    <w:p w14:paraId="4879AC4E" w14:textId="77777777" w:rsidR="006E2E1A" w:rsidRPr="006E2E1A" w:rsidRDefault="006E2E1A" w:rsidP="006E2E1A">
      <w:pPr>
        <w:pStyle w:val="EndNoteBibliography"/>
        <w:spacing w:after="0"/>
        <w:ind w:firstLine="0"/>
      </w:pPr>
    </w:p>
    <w:p w14:paraId="6A068DDE" w14:textId="77777777" w:rsidR="006E2E1A" w:rsidRPr="006E2E1A" w:rsidRDefault="006E2E1A" w:rsidP="006E2E1A">
      <w:pPr>
        <w:pStyle w:val="EndNoteBibliography"/>
        <w:ind w:firstLine="0"/>
      </w:pPr>
      <w:bookmarkStart w:id="21" w:name="_ENREF_20"/>
      <w:r w:rsidRPr="006E2E1A">
        <w:t xml:space="preserve">Ramteke, A., H. Ting, C. Agarwal, S. Mateen, R. Somasagara, A. Hussain, M. Graner, B. Frederick, R. Agarwal and G. Deep (2015). "Exosomes secreted under hypoxia enhance invasiveness and stemness of prostate cancer cells by targeting adherens junction molecules." </w:t>
      </w:r>
      <w:r w:rsidRPr="006E2E1A">
        <w:rPr>
          <w:u w:val="single"/>
        </w:rPr>
        <w:t>Mol Carcinog</w:t>
      </w:r>
      <w:r w:rsidRPr="006E2E1A">
        <w:t xml:space="preserve"> </w:t>
      </w:r>
      <w:r w:rsidRPr="006E2E1A">
        <w:rPr>
          <w:b/>
        </w:rPr>
        <w:t>54</w:t>
      </w:r>
      <w:r w:rsidRPr="006E2E1A">
        <w:t>(7): 554-565.</w:t>
      </w:r>
    </w:p>
    <w:bookmarkEnd w:id="21"/>
    <w:p w14:paraId="2140A6A5" w14:textId="77777777" w:rsidR="006E2E1A" w:rsidRPr="006E2E1A" w:rsidRDefault="006E2E1A" w:rsidP="006E2E1A">
      <w:pPr>
        <w:pStyle w:val="EndNoteBibliography"/>
        <w:spacing w:after="0"/>
        <w:ind w:firstLine="0"/>
      </w:pPr>
    </w:p>
    <w:p w14:paraId="0CE5B777" w14:textId="77777777" w:rsidR="006E2E1A" w:rsidRPr="006E2E1A" w:rsidRDefault="006E2E1A" w:rsidP="006E2E1A">
      <w:pPr>
        <w:pStyle w:val="EndNoteBibliography"/>
        <w:ind w:firstLine="0"/>
      </w:pPr>
      <w:bookmarkStart w:id="22" w:name="_ENREF_21"/>
      <w:r w:rsidRPr="006E2E1A">
        <w:t xml:space="preserve">Song, X., Y. Ding, G. Liu, X. Yang, R. Zhao, Y. Zhang, X. Zhao, G. J. Anderson and G. Nie (2016). "Cancer Cell-Derived Exosomes Induce Mitogen-Activated Protein Kinase-Dependent Monocyte Survival by Transport of Functional Receptor Tyrosine Kinases." </w:t>
      </w:r>
      <w:r w:rsidRPr="006E2E1A">
        <w:rPr>
          <w:u w:val="single"/>
        </w:rPr>
        <w:t>Journal of Biological Chemistry</w:t>
      </w:r>
      <w:r w:rsidRPr="006E2E1A">
        <w:t>.</w:t>
      </w:r>
    </w:p>
    <w:bookmarkEnd w:id="22"/>
    <w:p w14:paraId="3E1AF19C" w14:textId="77777777" w:rsidR="006E2E1A" w:rsidRPr="006E2E1A" w:rsidRDefault="006E2E1A" w:rsidP="006E2E1A">
      <w:pPr>
        <w:pStyle w:val="EndNoteBibliography"/>
        <w:spacing w:after="0"/>
        <w:ind w:firstLine="0"/>
      </w:pPr>
    </w:p>
    <w:p w14:paraId="24D56D45" w14:textId="77777777" w:rsidR="006E2E1A" w:rsidRPr="006E2E1A" w:rsidRDefault="006E2E1A" w:rsidP="006E2E1A">
      <w:pPr>
        <w:pStyle w:val="EndNoteBibliography"/>
        <w:ind w:firstLine="0"/>
      </w:pPr>
      <w:bookmarkStart w:id="23" w:name="_ENREF_22"/>
      <w:r w:rsidRPr="006E2E1A">
        <w:t xml:space="preserve">Wu, H.-C., C.-H. Chang, Y.-A. Tsou, C.-W. Tsai, C.-C. Lin and D.-T. Bau (2011). "Significant Association of Caveolin-1 (CAV1) Genotypes with Prostate Cancer Susceptibility in Taiwan." </w:t>
      </w:r>
      <w:r w:rsidRPr="006E2E1A">
        <w:rPr>
          <w:u w:val="single"/>
        </w:rPr>
        <w:t>Anticancer Research</w:t>
      </w:r>
      <w:r w:rsidRPr="006E2E1A">
        <w:t xml:space="preserve"> </w:t>
      </w:r>
      <w:r w:rsidRPr="006E2E1A">
        <w:rPr>
          <w:b/>
        </w:rPr>
        <w:t>31</w:t>
      </w:r>
      <w:r w:rsidRPr="006E2E1A">
        <w:t>(2): 745-749.</w:t>
      </w:r>
    </w:p>
    <w:bookmarkEnd w:id="23"/>
    <w:p w14:paraId="327A29F5" w14:textId="77777777" w:rsidR="006E2E1A" w:rsidRPr="006E2E1A" w:rsidRDefault="006E2E1A" w:rsidP="006E2E1A">
      <w:pPr>
        <w:pStyle w:val="EndNoteBibliography"/>
        <w:spacing w:after="0"/>
        <w:ind w:firstLine="0"/>
      </w:pPr>
    </w:p>
    <w:p w14:paraId="4EB0E64D" w14:textId="77777777" w:rsidR="006E2E1A" w:rsidRPr="006E2E1A" w:rsidRDefault="006E2E1A" w:rsidP="006E2E1A">
      <w:pPr>
        <w:pStyle w:val="EndNoteBibliography"/>
        <w:ind w:firstLine="0"/>
      </w:pPr>
      <w:bookmarkStart w:id="24" w:name="_ENREF_23"/>
      <w:r w:rsidRPr="006E2E1A">
        <w:t xml:space="preserve">Wysoczynski, M. and M. Z. Ratajczak (2009). "LUNG CANCER SECRETED MICROVESCILES: UNDERAPPRECIATED MODULATORS OF MICROENVIRONMENT IN EXPANDING TUMORS." </w:t>
      </w:r>
      <w:r w:rsidRPr="006E2E1A">
        <w:rPr>
          <w:u w:val="single"/>
        </w:rPr>
        <w:t>International journal of cancer. Journal international du cancer</w:t>
      </w:r>
      <w:r w:rsidRPr="006E2E1A">
        <w:t xml:space="preserve"> </w:t>
      </w:r>
      <w:r w:rsidRPr="006E2E1A">
        <w:rPr>
          <w:b/>
        </w:rPr>
        <w:t>125</w:t>
      </w:r>
      <w:r w:rsidRPr="006E2E1A">
        <w:t>(7): 1595-1603.</w:t>
      </w:r>
    </w:p>
    <w:bookmarkEnd w:id="24"/>
    <w:p w14:paraId="0E192DFD" w14:textId="77777777" w:rsidR="006E2E1A" w:rsidRPr="006E2E1A" w:rsidRDefault="006E2E1A" w:rsidP="006E2E1A">
      <w:pPr>
        <w:pStyle w:val="EndNoteBibliography"/>
        <w:ind w:firstLine="0"/>
      </w:pPr>
    </w:p>
    <w:p w14:paraId="199829F0" w14:textId="737FEFA3" w:rsidR="008A65F4" w:rsidRDefault="00E05117" w:rsidP="008A65F4">
      <w:pPr>
        <w:rPr>
          <w:rFonts w:ascii="Lucida Sans Unicode" w:hAnsi="Lucida Sans Unicode" w:cs="Lucida Sans Unicode"/>
          <w:color w:val="444444"/>
          <w:sz w:val="19"/>
          <w:szCs w:val="19"/>
          <w:shd w:val="clear" w:color="auto" w:fill="FFFFFF"/>
        </w:rPr>
      </w:pPr>
      <w:r>
        <w:fldChar w:fldCharType="end"/>
      </w:r>
      <w:r w:rsidR="00E81F6E">
        <w:rPr>
          <w:rFonts w:ascii="Lucida Sans Unicode" w:hAnsi="Lucida Sans Unicode" w:cs="Lucida Sans Unicode"/>
          <w:color w:val="444444"/>
          <w:sz w:val="19"/>
          <w:szCs w:val="19"/>
          <w:shd w:val="clear" w:color="auto" w:fill="FFFFFF"/>
        </w:rPr>
        <w:t>Surveillance, Epidemiology, and End Results (SEER) Program Populations (1969-2014) (www.seer.cancer.gov/popdata), National Cancer Institute, DCCPS, Surveillance Research Program, Surveillance Systems Branch, released March 2016.</w:t>
      </w:r>
    </w:p>
    <w:p w14:paraId="0F8C9426" w14:textId="45111894" w:rsidR="00690B2B" w:rsidRDefault="00E92B02" w:rsidP="008A65F4">
      <w:hyperlink r:id="rId7" w:history="1">
        <w:r w:rsidR="00690B2B" w:rsidRPr="00146C6E">
          <w:rPr>
            <w:rStyle w:val="Hyperlink"/>
          </w:rPr>
          <w:t>http://www.ncbi.nlm.nih.gov/pmc/articles/PMC3467054/</w:t>
        </w:r>
      </w:hyperlink>
      <w:r w:rsidR="00690B2B">
        <w:t xml:space="preserve"> </w:t>
      </w:r>
      <w:proofErr w:type="spellStart"/>
      <w:r w:rsidR="00690B2B">
        <w:t>Mirs</w:t>
      </w:r>
      <w:proofErr w:type="spellEnd"/>
      <w:r w:rsidR="00690B2B">
        <w:t xml:space="preserve"> and malignancy </w:t>
      </w:r>
    </w:p>
    <w:p w14:paraId="00AB420A" w14:textId="68491025" w:rsidR="00690B2B" w:rsidRDefault="00E92B02" w:rsidP="008A65F4">
      <w:hyperlink r:id="rId8" w:history="1">
        <w:r w:rsidR="00690B2B" w:rsidRPr="00146C6E">
          <w:rPr>
            <w:rStyle w:val="Hyperlink"/>
          </w:rPr>
          <w:t>http://www.ncbi.nlm.nih.gov/pmc/articles/PMC4016197/</w:t>
        </w:r>
      </w:hyperlink>
      <w:r w:rsidR="00690B2B">
        <w:t xml:space="preserve"> selective </w:t>
      </w:r>
      <w:proofErr w:type="spellStart"/>
      <w:r w:rsidR="00690B2B">
        <w:t>mir</w:t>
      </w:r>
      <w:proofErr w:type="spellEnd"/>
      <w:r w:rsidR="00690B2B">
        <w:t xml:space="preserve"> function example.</w:t>
      </w:r>
    </w:p>
    <w:p w14:paraId="2910102B" w14:textId="20B0355B" w:rsidR="00690B2B" w:rsidRDefault="00690B2B" w:rsidP="008A65F4"/>
    <w:sectPr w:rsidR="00690B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6-08-10T12:37:00Z" w:initials="Ma">
    <w:p w14:paraId="7B39939D" w14:textId="77777777" w:rsidR="001549AE" w:rsidRDefault="001549AE" w:rsidP="00652B1B">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93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50&lt;/item&gt;&lt;item&gt;151&lt;/item&gt;&lt;item&gt;153&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record-ids&gt;&lt;/item&gt;&lt;/Libraries&gt;"/>
  </w:docVars>
  <w:rsids>
    <w:rsidRoot w:val="00F26152"/>
    <w:rsid w:val="00010C12"/>
    <w:rsid w:val="00032294"/>
    <w:rsid w:val="00055C57"/>
    <w:rsid w:val="00080F35"/>
    <w:rsid w:val="000A2838"/>
    <w:rsid w:val="000F02B1"/>
    <w:rsid w:val="00120C1A"/>
    <w:rsid w:val="001549AE"/>
    <w:rsid w:val="001A629C"/>
    <w:rsid w:val="001C4FC2"/>
    <w:rsid w:val="002121FA"/>
    <w:rsid w:val="00287666"/>
    <w:rsid w:val="00295139"/>
    <w:rsid w:val="002B418E"/>
    <w:rsid w:val="002B4266"/>
    <w:rsid w:val="002C0953"/>
    <w:rsid w:val="002C55DB"/>
    <w:rsid w:val="003516DB"/>
    <w:rsid w:val="00363848"/>
    <w:rsid w:val="0037505E"/>
    <w:rsid w:val="00387251"/>
    <w:rsid w:val="004030B3"/>
    <w:rsid w:val="00415B8F"/>
    <w:rsid w:val="00461480"/>
    <w:rsid w:val="00466918"/>
    <w:rsid w:val="00486CF2"/>
    <w:rsid w:val="004A48AD"/>
    <w:rsid w:val="004D0458"/>
    <w:rsid w:val="005236AE"/>
    <w:rsid w:val="00577A2B"/>
    <w:rsid w:val="005839BD"/>
    <w:rsid w:val="00623B82"/>
    <w:rsid w:val="00625638"/>
    <w:rsid w:val="00651164"/>
    <w:rsid w:val="00652B1B"/>
    <w:rsid w:val="00690B2B"/>
    <w:rsid w:val="006E2E1A"/>
    <w:rsid w:val="006E5436"/>
    <w:rsid w:val="00734803"/>
    <w:rsid w:val="00781013"/>
    <w:rsid w:val="007A3112"/>
    <w:rsid w:val="007E521F"/>
    <w:rsid w:val="00820937"/>
    <w:rsid w:val="008344AE"/>
    <w:rsid w:val="008506A9"/>
    <w:rsid w:val="00874CCF"/>
    <w:rsid w:val="00880D74"/>
    <w:rsid w:val="008A65F4"/>
    <w:rsid w:val="008E6AFE"/>
    <w:rsid w:val="008F5494"/>
    <w:rsid w:val="009454B9"/>
    <w:rsid w:val="009608BD"/>
    <w:rsid w:val="009A0B40"/>
    <w:rsid w:val="009F4C73"/>
    <w:rsid w:val="00A021E9"/>
    <w:rsid w:val="00A27B39"/>
    <w:rsid w:val="00A51AFF"/>
    <w:rsid w:val="00AA4692"/>
    <w:rsid w:val="00AE609E"/>
    <w:rsid w:val="00B23259"/>
    <w:rsid w:val="00B4460E"/>
    <w:rsid w:val="00B54929"/>
    <w:rsid w:val="00B716FF"/>
    <w:rsid w:val="00B76857"/>
    <w:rsid w:val="00B863F4"/>
    <w:rsid w:val="00B901B7"/>
    <w:rsid w:val="00B95120"/>
    <w:rsid w:val="00BD4567"/>
    <w:rsid w:val="00BE7CE6"/>
    <w:rsid w:val="00C2738E"/>
    <w:rsid w:val="00CA2888"/>
    <w:rsid w:val="00CD38B8"/>
    <w:rsid w:val="00CD50B8"/>
    <w:rsid w:val="00CF7D14"/>
    <w:rsid w:val="00D736DD"/>
    <w:rsid w:val="00DC5042"/>
    <w:rsid w:val="00E019CA"/>
    <w:rsid w:val="00E05117"/>
    <w:rsid w:val="00E0603F"/>
    <w:rsid w:val="00E63D30"/>
    <w:rsid w:val="00E65BF9"/>
    <w:rsid w:val="00E66115"/>
    <w:rsid w:val="00E81F6E"/>
    <w:rsid w:val="00E92B02"/>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016197/" TargetMode="External"/><Relationship Id="rId3" Type="http://schemas.openxmlformats.org/officeDocument/2006/relationships/settings" Target="settings.xml"/><Relationship Id="rId7" Type="http://schemas.openxmlformats.org/officeDocument/2006/relationships/hyperlink" Target="http://www.ncbi.nlm.nih.gov/pmc/articles/PMC346705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7</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51</cp:revision>
  <dcterms:created xsi:type="dcterms:W3CDTF">2016-08-07T07:55:00Z</dcterms:created>
  <dcterms:modified xsi:type="dcterms:W3CDTF">2016-08-16T02:25:00Z</dcterms:modified>
</cp:coreProperties>
</file>