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4715" w14:textId="4399B1E7" w:rsidR="00D92C78" w:rsidRDefault="00D92C78" w:rsidP="00652B1B">
      <w:pPr>
        <w:tabs>
          <w:tab w:val="left" w:pos="5103"/>
        </w:tabs>
        <w:spacing w:line="480" w:lineRule="auto"/>
        <w:rPr>
          <w:rFonts w:ascii="Times New Roman" w:hAnsi="Times New Roman" w:cs="Times New Roman"/>
          <w:b/>
          <w:sz w:val="24"/>
          <w:szCs w:val="24"/>
        </w:rPr>
      </w:pPr>
      <w:r>
        <w:rPr>
          <w:rFonts w:ascii="Times New Roman" w:hAnsi="Times New Roman" w:cs="Times New Roman"/>
          <w:b/>
          <w:sz w:val="24"/>
          <w:szCs w:val="24"/>
        </w:rPr>
        <w:t>Introduction: 1257words</w:t>
      </w:r>
    </w:p>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1648517E" w:rsidR="008A65F4" w:rsidRPr="009608BD" w:rsidRDefault="00A77EF0" w:rsidP="00E66115">
      <w:pPr>
        <w:spacing w:line="480" w:lineRule="auto"/>
        <w:rPr>
          <w:rFonts w:ascii="Times New Roman" w:hAnsi="Times New Roman" w:cs="Times New Roman"/>
          <w:sz w:val="24"/>
          <w:szCs w:val="24"/>
        </w:rPr>
      </w:pPr>
      <w:r>
        <w:rPr>
          <w:rFonts w:ascii="Times New Roman" w:hAnsi="Times New Roman" w:cs="Times New Roman"/>
          <w:sz w:val="24"/>
          <w:szCs w:val="24"/>
        </w:rPr>
        <w:t xml:space="preserve">Prostate cancer is the most commonly diagnosed cancer in men. </w:t>
      </w:r>
      <w:r w:rsidRPr="009608BD">
        <w:rPr>
          <w:rFonts w:ascii="Times New Roman" w:hAnsi="Times New Roman" w:cs="Times New Roman"/>
          <w:sz w:val="24"/>
          <w:szCs w:val="24"/>
        </w:rPr>
        <w:t>While the primary tumour can be treated and removed efficiently</w:t>
      </w:r>
      <w:r>
        <w:rPr>
          <w:rFonts w:ascii="Times New Roman" w:hAnsi="Times New Roman" w:cs="Times New Roman"/>
          <w:sz w:val="24"/>
          <w:szCs w:val="24"/>
        </w:rPr>
        <w:t xml:space="preserve"> resulting in almost 99% survival</w:t>
      </w:r>
      <w:r w:rsidRPr="009608BD">
        <w:rPr>
          <w:rFonts w:ascii="Times New Roman" w:hAnsi="Times New Roman" w:cs="Times New Roman"/>
          <w:sz w:val="24"/>
          <w:szCs w:val="24"/>
        </w:rPr>
        <w:t xml:space="preserve">, </w:t>
      </w:r>
      <w:r>
        <w:rPr>
          <w:rFonts w:ascii="Times New Roman" w:hAnsi="Times New Roman" w:cs="Times New Roman"/>
          <w:sz w:val="24"/>
          <w:szCs w:val="24"/>
        </w:rPr>
        <w:t>patients inflicted with metastatic prostate cancer possess a reduced 5-year survival rate of 29.3% (SEER 2016)</w:t>
      </w:r>
      <w:r w:rsidRPr="009608BD">
        <w:rPr>
          <w:rFonts w:ascii="Times New Roman" w:hAnsi="Times New Roman" w:cs="Times New Roman"/>
          <w:sz w:val="24"/>
          <w:szCs w:val="24"/>
        </w:rPr>
        <w:t>.</w:t>
      </w:r>
      <w:r>
        <w:rPr>
          <w:rFonts w:ascii="Times New Roman" w:hAnsi="Times New Roman" w:cs="Times New Roman"/>
          <w:sz w:val="24"/>
          <w:szCs w:val="24"/>
        </w:rPr>
        <w:t xml:space="preserve"> </w:t>
      </w:r>
      <w:ins w:id="0" w:author="Michelle Hill" w:date="2016-08-18T23:49:00Z">
        <w:r>
          <w:rPr>
            <w:rFonts w:ascii="Times New Roman" w:hAnsi="Times New Roman" w:cs="Times New Roman"/>
            <w:sz w:val="24"/>
            <w:szCs w:val="24"/>
          </w:rPr>
          <w:t xml:space="preserve"> </w:t>
        </w:r>
      </w:ins>
      <w:r w:rsidR="00820937"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w:t>
      </w:r>
      <w:r w:rsidR="00E05117">
        <w:rPr>
          <w:rFonts w:ascii="Times New Roman" w:hAnsi="Times New Roman" w:cs="Times New Roman"/>
          <w:sz w:val="24"/>
          <w:szCs w:val="24"/>
        </w:rPr>
        <w:t xml:space="preserve"> </w:t>
      </w:r>
      <w:r w:rsidR="00E05117">
        <w:rPr>
          <w:rFonts w:ascii="Times New Roman" w:hAnsi="Times New Roman" w:cs="Times New Roman"/>
          <w:sz w:val="24"/>
          <w:szCs w:val="24"/>
        </w:rPr>
        <w:fldChar w:fldCharType="begin"/>
      </w:r>
      <w:r w:rsidR="00E05117">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00E05117">
        <w:rPr>
          <w:rFonts w:ascii="Times New Roman" w:hAnsi="Times New Roman" w:cs="Times New Roman"/>
          <w:sz w:val="24"/>
          <w:szCs w:val="24"/>
        </w:rPr>
        <w:fldChar w:fldCharType="separate"/>
      </w:r>
      <w:r w:rsidR="00E05117">
        <w:rPr>
          <w:rFonts w:ascii="Times New Roman" w:hAnsi="Times New Roman" w:cs="Times New Roman"/>
          <w:noProof/>
          <w:sz w:val="24"/>
          <w:szCs w:val="24"/>
        </w:rPr>
        <w:t>(</w:t>
      </w:r>
      <w:hyperlink w:anchor="_ENREF_1" w:tooltip="Bubendorf, 2000 #165" w:history="1">
        <w:r w:rsidR="00F62E14">
          <w:rPr>
            <w:rFonts w:ascii="Times New Roman" w:hAnsi="Times New Roman" w:cs="Times New Roman"/>
            <w:noProof/>
            <w:sz w:val="24"/>
            <w:szCs w:val="24"/>
          </w:rPr>
          <w:t>Bubendorf</w:t>
        </w:r>
        <w:r w:rsidR="00F62E14" w:rsidRPr="00E05117">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2000</w:t>
        </w:r>
      </w:hyperlink>
      <w:r w:rsidR="00E05117">
        <w:rPr>
          <w:rFonts w:ascii="Times New Roman" w:hAnsi="Times New Roman" w:cs="Times New Roman"/>
          <w:noProof/>
          <w:sz w:val="24"/>
          <w:szCs w:val="24"/>
        </w:rPr>
        <w:t>)</w:t>
      </w:r>
      <w:r w:rsidR="00E05117">
        <w:rPr>
          <w:rFonts w:ascii="Times New Roman" w:hAnsi="Times New Roman" w:cs="Times New Roman"/>
          <w:sz w:val="24"/>
          <w:szCs w:val="24"/>
        </w:rPr>
        <w:fldChar w:fldCharType="end"/>
      </w:r>
      <w:r w:rsidR="00AA4692" w:rsidRPr="009608BD">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00C5DBE4" w14:textId="240D13CD" w:rsidR="001332BB" w:rsidRDefault="008A65F4" w:rsidP="002C55DB">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 </w:instrTex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EN.CITE.DATA </w:instrText>
      </w:r>
      <w:r w:rsidR="00B716FF">
        <w:rPr>
          <w:rFonts w:ascii="Times New Roman" w:hAnsi="Times New Roman" w:cs="Times New Roman"/>
          <w:sz w:val="24"/>
          <w:szCs w:val="24"/>
        </w:rPr>
      </w:r>
      <w:r w:rsidR="00B716FF">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B716FF">
        <w:rPr>
          <w:rFonts w:ascii="Times New Roman" w:hAnsi="Times New Roman" w:cs="Times New Roman"/>
          <w:noProof/>
          <w:sz w:val="24"/>
          <w:szCs w:val="24"/>
        </w:rPr>
        <w:t>(</w:t>
      </w:r>
      <w:hyperlink w:anchor="_ENREF_10" w:tooltip="Gumulec, 2012 #167" w:history="1">
        <w:r w:rsidR="00F62E14">
          <w:rPr>
            <w:rFonts w:ascii="Times New Roman" w:hAnsi="Times New Roman" w:cs="Times New Roman"/>
            <w:noProof/>
            <w:sz w:val="24"/>
            <w:szCs w:val="24"/>
          </w:rPr>
          <w:t>Gumulec</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B716FF">
        <w:rPr>
          <w:rFonts w:ascii="Times New Roman" w:hAnsi="Times New Roman" w:cs="Times New Roman"/>
          <w:noProof/>
          <w:sz w:val="24"/>
          <w:szCs w:val="24"/>
        </w:rPr>
        <w:t xml:space="preserve">; </w:t>
      </w:r>
      <w:hyperlink w:anchor="_ENREF_22" w:tooltip="Moon, 2014 #10" w:history="1">
        <w:r w:rsidR="00F62E14">
          <w:rPr>
            <w:rFonts w:ascii="Times New Roman" w:hAnsi="Times New Roman" w:cs="Times New Roman"/>
            <w:noProof/>
            <w:sz w:val="24"/>
            <w:szCs w:val="24"/>
          </w:rPr>
          <w:t>Moon</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B716FF">
        <w:rPr>
          <w:rFonts w:ascii="Times New Roman" w:hAnsi="Times New Roman" w:cs="Times New Roman"/>
          <w:noProof/>
          <w:sz w:val="24"/>
          <w:szCs w:val="24"/>
        </w:rPr>
        <w:t xml:space="preserve">; </w:t>
      </w:r>
      <w:hyperlink w:anchor="_ENREF_12" w:tooltip="Hayashi, 2015 #166" w:history="1">
        <w:r w:rsidR="00F62E14">
          <w:rPr>
            <w:rFonts w:ascii="Times New Roman" w:hAnsi="Times New Roman" w:cs="Times New Roman"/>
            <w:noProof/>
            <w:sz w:val="24"/>
            <w:szCs w:val="24"/>
          </w:rPr>
          <w:t>Hayashi</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B716FF">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 xml:space="preserve">on the plasma membrane </w:t>
      </w:r>
      <w:r w:rsidR="00652B1B">
        <w:rPr>
          <w:rFonts w:ascii="Times New Roman" w:hAnsi="Times New Roman" w:cs="Times New Roman"/>
          <w:sz w:val="24"/>
          <w:szCs w:val="24"/>
        </w:rPr>
        <w:t>called C</w:t>
      </w:r>
      <w:r w:rsidR="00A27B39" w:rsidRPr="009608BD">
        <w:rPr>
          <w:rFonts w:ascii="Times New Roman" w:hAnsi="Times New Roman" w:cs="Times New Roman"/>
          <w:sz w:val="24"/>
          <w:szCs w:val="24"/>
        </w:rPr>
        <w:t>aveolae</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 </w:instrText>
      </w:r>
      <w:r w:rsidR="004030B3">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EN.CITE.DATA </w:instrText>
      </w:r>
      <w:r w:rsidR="004030B3">
        <w:rPr>
          <w:rFonts w:ascii="Times New Roman" w:hAnsi="Times New Roman" w:cs="Times New Roman"/>
          <w:sz w:val="24"/>
          <w:szCs w:val="24"/>
        </w:rPr>
      </w:r>
      <w:r w:rsidR="004030B3">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4030B3">
        <w:rPr>
          <w:rFonts w:ascii="Times New Roman" w:hAnsi="Times New Roman" w:cs="Times New Roman"/>
          <w:noProof/>
          <w:sz w:val="24"/>
          <w:szCs w:val="24"/>
        </w:rPr>
        <w:t>(</w:t>
      </w:r>
      <w:hyperlink w:anchor="_ENREF_14" w:tooltip="Hill, 2008 #33" w:history="1">
        <w:r w:rsidR="00F62E14">
          <w:rPr>
            <w:rFonts w:ascii="Times New Roman" w:hAnsi="Times New Roman" w:cs="Times New Roman"/>
            <w:noProof/>
            <w:sz w:val="24"/>
            <w:szCs w:val="24"/>
          </w:rPr>
          <w:t>Hill</w:t>
        </w:r>
        <w:r w:rsidR="00F62E14" w:rsidRPr="004030B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2008</w:t>
        </w:r>
      </w:hyperlink>
      <w:r w:rsidR="004030B3">
        <w:rPr>
          <w:rFonts w:ascii="Times New Roman" w:hAnsi="Times New Roman" w:cs="Times New Roman"/>
          <w:noProof/>
          <w:sz w:val="24"/>
          <w:szCs w:val="24"/>
        </w:rPr>
        <w:t xml:space="preserve">; </w:t>
      </w:r>
      <w:hyperlink w:anchor="_ENREF_22" w:tooltip="Moon, 2014 #10" w:history="1">
        <w:r w:rsidR="00F62E14">
          <w:rPr>
            <w:rFonts w:ascii="Times New Roman" w:hAnsi="Times New Roman" w:cs="Times New Roman"/>
            <w:noProof/>
            <w:sz w:val="24"/>
            <w:szCs w:val="24"/>
          </w:rPr>
          <w:t>Moon et al. 2014</w:t>
        </w:r>
      </w:hyperlink>
      <w:r w:rsidR="004030B3">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w:t>
      </w:r>
      <w:r w:rsidR="00E65BF9">
        <w:rPr>
          <w:rFonts w:ascii="Times New Roman" w:hAnsi="Times New Roman" w:cs="Times New Roman"/>
          <w:sz w:val="24"/>
          <w:szCs w:val="24"/>
        </w:rPr>
        <w:t xml:space="preserve"> </w:t>
      </w:r>
      <w:r w:rsidR="00E65BF9">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 </w:instrText>
      </w:r>
      <w:r w:rsidR="009F4C73">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EN.CITE.DATA </w:instrText>
      </w:r>
      <w:r w:rsidR="009F4C73">
        <w:rPr>
          <w:rFonts w:ascii="Times New Roman" w:hAnsi="Times New Roman" w:cs="Times New Roman"/>
          <w:sz w:val="24"/>
          <w:szCs w:val="24"/>
        </w:rPr>
      </w:r>
      <w:r w:rsidR="009F4C73">
        <w:rPr>
          <w:rFonts w:ascii="Times New Roman" w:hAnsi="Times New Roman" w:cs="Times New Roman"/>
          <w:sz w:val="24"/>
          <w:szCs w:val="24"/>
        </w:rPr>
        <w:fldChar w:fldCharType="end"/>
      </w:r>
      <w:r w:rsidR="00E65BF9">
        <w:rPr>
          <w:rFonts w:ascii="Times New Roman" w:hAnsi="Times New Roman" w:cs="Times New Roman"/>
          <w:sz w:val="24"/>
          <w:szCs w:val="24"/>
        </w:rPr>
      </w:r>
      <w:r w:rsidR="00E65BF9">
        <w:rPr>
          <w:rFonts w:ascii="Times New Roman" w:hAnsi="Times New Roman" w:cs="Times New Roman"/>
          <w:sz w:val="24"/>
          <w:szCs w:val="24"/>
        </w:rPr>
        <w:fldChar w:fldCharType="separate"/>
      </w:r>
      <w:r w:rsidR="009F4C73">
        <w:rPr>
          <w:rFonts w:ascii="Times New Roman" w:hAnsi="Times New Roman" w:cs="Times New Roman"/>
          <w:noProof/>
          <w:sz w:val="24"/>
          <w:szCs w:val="24"/>
        </w:rPr>
        <w:t>(</w:t>
      </w:r>
      <w:hyperlink w:anchor="_ENREF_31" w:tooltip="Wu, 2011 #171" w:history="1">
        <w:r w:rsidR="00F62E14">
          <w:rPr>
            <w:rFonts w:ascii="Times New Roman" w:hAnsi="Times New Roman" w:cs="Times New Roman"/>
            <w:noProof/>
            <w:sz w:val="24"/>
            <w:szCs w:val="24"/>
          </w:rPr>
          <w:t>Wu</w:t>
        </w:r>
        <w:r w:rsidR="00F62E14" w:rsidRPr="009F4C7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2011</w:t>
        </w:r>
      </w:hyperlink>
      <w:r w:rsidR="009F4C73">
        <w:rPr>
          <w:rFonts w:ascii="Times New Roman" w:hAnsi="Times New Roman" w:cs="Times New Roman"/>
          <w:noProof/>
          <w:sz w:val="24"/>
          <w:szCs w:val="24"/>
        </w:rPr>
        <w:t xml:space="preserve">; </w:t>
      </w:r>
      <w:hyperlink w:anchor="_ENREF_23" w:tooltip="Moumita, 2015 #168" w:history="1">
        <w:r w:rsidR="00F62E14">
          <w:rPr>
            <w:rFonts w:ascii="Times New Roman" w:hAnsi="Times New Roman" w:cs="Times New Roman"/>
            <w:noProof/>
            <w:sz w:val="24"/>
            <w:szCs w:val="24"/>
          </w:rPr>
          <w:t>Moumita</w:t>
        </w:r>
        <w:r w:rsidR="00F62E14" w:rsidRPr="009F4C7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9F4C73">
        <w:rPr>
          <w:rFonts w:ascii="Times New Roman" w:hAnsi="Times New Roman" w:cs="Times New Roman"/>
          <w:noProof/>
          <w:sz w:val="24"/>
          <w:szCs w:val="24"/>
        </w:rPr>
        <w:t>)</w:t>
      </w:r>
      <w:r w:rsidR="00E65BF9">
        <w:rPr>
          <w:rFonts w:ascii="Times New Roman" w:hAnsi="Times New Roman" w:cs="Times New Roman"/>
          <w:sz w:val="24"/>
          <w:szCs w:val="24"/>
        </w:rPr>
        <w:fldChar w:fldCharType="end"/>
      </w:r>
      <w:r w:rsidR="00625638" w:rsidRPr="009608BD">
        <w:rPr>
          <w:rFonts w:ascii="Times New Roman" w:hAnsi="Times New Roman" w:cs="Times New Roman"/>
          <w:sz w:val="24"/>
          <w:szCs w:val="24"/>
        </w:rPr>
        <w:t>.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expression, yet, the mechanism that links caveolin to these phenotypes is still actively being investigated</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9" w:tooltip="Grande-García, 2007 #173" w:history="1">
        <w:r w:rsidR="00F62E14">
          <w:rPr>
            <w:rFonts w:ascii="Times New Roman" w:hAnsi="Times New Roman" w:cs="Times New Roman"/>
            <w:noProof/>
            <w:sz w:val="24"/>
            <w:szCs w:val="24"/>
          </w:rPr>
          <w:t>Grande-García</w:t>
        </w:r>
        <w:r w:rsidR="00F62E14" w:rsidRPr="007E521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2007</w:t>
        </w:r>
      </w:hyperlink>
      <w:r w:rsidR="007E521F">
        <w:rPr>
          <w:rFonts w:ascii="Times New Roman" w:hAnsi="Times New Roman" w:cs="Times New Roman"/>
          <w:noProof/>
          <w:sz w:val="24"/>
          <w:szCs w:val="24"/>
        </w:rPr>
        <w:t xml:space="preserve">; </w:t>
      </w:r>
      <w:hyperlink w:anchor="_ENREF_2" w:tooltip="Chatterjee, 2015 #172" w:history="1">
        <w:r w:rsidR="00F62E14">
          <w:rPr>
            <w:rFonts w:ascii="Times New Roman" w:hAnsi="Times New Roman" w:cs="Times New Roman"/>
            <w:noProof/>
            <w:sz w:val="24"/>
            <w:szCs w:val="24"/>
          </w:rPr>
          <w:t>Chatterjee</w:t>
        </w:r>
        <w:r w:rsidR="00F62E14" w:rsidRPr="007E521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625638" w:rsidRPr="009608BD">
        <w:rPr>
          <w:rFonts w:ascii="Times New Roman" w:hAnsi="Times New Roman" w:cs="Times New Roman"/>
          <w:sz w:val="24"/>
          <w:szCs w:val="24"/>
        </w:rPr>
        <w:t xml:space="preserve">. </w:t>
      </w:r>
    </w:p>
    <w:p w14:paraId="2E78BF56" w14:textId="20F2F64A" w:rsidR="002C55DB" w:rsidRDefault="001332BB" w:rsidP="002C55DB">
      <w:pPr>
        <w:spacing w:line="480" w:lineRule="auto"/>
        <w:rPr>
          <w:rFonts w:ascii="Times New Roman" w:hAnsi="Times New Roman" w:cs="Times New Roman"/>
          <w:sz w:val="24"/>
          <w:szCs w:val="24"/>
        </w:rPr>
      </w:pPr>
      <w:r>
        <w:rPr>
          <w:rFonts w:ascii="Times New Roman" w:hAnsi="Times New Roman" w:cs="Times New Roman"/>
          <w:sz w:val="24"/>
          <w:szCs w:val="24"/>
        </w:rPr>
        <w:t xml:space="preserve">Recent studies have shown that cavin-1 is capable of reversing the pro-metastatic action of caveolin-1 </w: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22" w:tooltip="Moon, 2014 #10" w:history="1">
        <w:r w:rsidR="00F62E14">
          <w:rPr>
            <w:rFonts w:ascii="Times New Roman" w:hAnsi="Times New Roman" w:cs="Times New Roman"/>
            <w:noProof/>
            <w:sz w:val="24"/>
            <w:szCs w:val="24"/>
          </w:rPr>
          <w:t>Moon et al.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BE7CE6">
        <w:rPr>
          <w:rFonts w:ascii="Times New Roman" w:hAnsi="Times New Roman" w:cs="Times New Roman"/>
          <w:sz w:val="24"/>
          <w:szCs w:val="24"/>
        </w:rPr>
        <w:t>.</w:t>
      </w:r>
      <w:r w:rsidR="00227A59">
        <w:rPr>
          <w:rFonts w:ascii="Times New Roman" w:hAnsi="Times New Roman" w:cs="Times New Roman"/>
          <w:sz w:val="24"/>
          <w:szCs w:val="24"/>
        </w:rPr>
        <w:t xml:space="preserve"> Cavin-1 expression inhibited prostate cancer PC3 cell proliferation, migration and anchorage-independent growth </w:t>
      </w:r>
      <w:r w:rsidR="00227A59" w:rsidRPr="00E63DDB">
        <w:rPr>
          <w:rFonts w:ascii="Times New Roman" w:hAnsi="Times New Roman" w:cs="Times New Roman"/>
          <w:i/>
          <w:sz w:val="24"/>
          <w:szCs w:val="24"/>
        </w:rPr>
        <w:t>in vitro</w:t>
      </w:r>
      <w:r w:rsidR="00227A59">
        <w:rPr>
          <w:rFonts w:ascii="Times New Roman" w:hAnsi="Times New Roman" w:cs="Times New Roman"/>
          <w:sz w:val="24"/>
          <w:szCs w:val="24"/>
        </w:rPr>
        <w:t xml:space="preserve">, and tumour growth, metastasis and angiogenesis </w:t>
      </w:r>
      <w:r w:rsidR="00227A59" w:rsidRPr="00E63DDB">
        <w:rPr>
          <w:rFonts w:ascii="Times New Roman" w:hAnsi="Times New Roman" w:cs="Times New Roman"/>
          <w:i/>
          <w:sz w:val="24"/>
          <w:szCs w:val="24"/>
        </w:rPr>
        <w:t>in vivo</w:t>
      </w:r>
      <w:r w:rsidR="00227A59">
        <w:rPr>
          <w:rFonts w:ascii="Times New Roman" w:hAnsi="Times New Roman" w:cs="Times New Roman"/>
          <w:sz w:val="24"/>
          <w:szCs w:val="24"/>
        </w:rPr>
        <w:t xml:space="preserve">. Mechanistically, cavin-1 expression altered the tumour microenvironment, including reduction </w:t>
      </w:r>
      <w:r w:rsidR="00B009A1">
        <w:rPr>
          <w:rFonts w:ascii="Times New Roman" w:hAnsi="Times New Roman" w:cs="Times New Roman"/>
          <w:sz w:val="24"/>
          <w:szCs w:val="24"/>
        </w:rPr>
        <w:t xml:space="preserve">of </w:t>
      </w:r>
      <w:r w:rsidR="00227A59">
        <w:rPr>
          <w:rFonts w:ascii="Times New Roman" w:hAnsi="Times New Roman" w:cs="Times New Roman"/>
          <w:sz w:val="24"/>
          <w:szCs w:val="24"/>
        </w:rPr>
        <w:t xml:space="preserve">fibroblasts and </w:t>
      </w:r>
      <w:r w:rsidR="00B009A1">
        <w:rPr>
          <w:rFonts w:ascii="Times New Roman" w:hAnsi="Times New Roman" w:cs="Times New Roman"/>
          <w:sz w:val="24"/>
          <w:szCs w:val="24"/>
        </w:rPr>
        <w:t xml:space="preserve">secretion of </w:t>
      </w:r>
      <w:r w:rsidR="00227A59">
        <w:rPr>
          <w:rFonts w:ascii="Times New Roman" w:hAnsi="Times New Roman" w:cs="Times New Roman"/>
          <w:sz w:val="24"/>
          <w:szCs w:val="24"/>
        </w:rPr>
        <w:t>IL-6 (Moon</w:t>
      </w:r>
      <w:ins w:id="1" w:author="Harley Robinson " w:date="2016-08-19T08:45:00Z">
        <w:r w:rsidR="00E63DDB">
          <w:rPr>
            <w:rFonts w:ascii="Times New Roman" w:hAnsi="Times New Roman" w:cs="Times New Roman"/>
            <w:sz w:val="24"/>
            <w:szCs w:val="24"/>
          </w:rPr>
          <w:t xml:space="preserve"> 2012</w:t>
        </w:r>
      </w:ins>
      <w:r w:rsidR="00227A59">
        <w:rPr>
          <w:rFonts w:ascii="Times New Roman" w:hAnsi="Times New Roman" w:cs="Times New Roman"/>
          <w:sz w:val="24"/>
          <w:szCs w:val="24"/>
        </w:rPr>
        <w:t xml:space="preserve">). </w:t>
      </w:r>
      <w:r w:rsidR="008938C1">
        <w:rPr>
          <w:rFonts w:ascii="Times New Roman" w:hAnsi="Times New Roman" w:cs="Times New Roman"/>
          <w:sz w:val="24"/>
          <w:szCs w:val="24"/>
        </w:rPr>
        <w:t>This reduced IL-6 secretion was determined to be through extracellular vesicle</w:t>
      </w:r>
      <w:ins w:id="2" w:author="Harley Robinson " w:date="2016-08-24T11:47:00Z">
        <w:r w:rsidR="00F62E14">
          <w:rPr>
            <w:rFonts w:ascii="Times New Roman" w:hAnsi="Times New Roman" w:cs="Times New Roman"/>
            <w:sz w:val="24"/>
            <w:szCs w:val="24"/>
          </w:rPr>
          <w:t xml:space="preserve"> (EV)</w:t>
        </w:r>
      </w:ins>
      <w:r w:rsidR="008938C1">
        <w:rPr>
          <w:rFonts w:ascii="Times New Roman" w:hAnsi="Times New Roman" w:cs="Times New Roman"/>
          <w:sz w:val="24"/>
          <w:szCs w:val="24"/>
        </w:rPr>
        <w:t xml:space="preserve"> release </w:t>
      </w:r>
      <w:r w:rsidR="008938C1">
        <w:rPr>
          <w:rFonts w:ascii="Times New Roman" w:hAnsi="Times New Roman" w:cs="Times New Roman"/>
          <w:sz w:val="24"/>
          <w:szCs w:val="24"/>
        </w:rPr>
        <w:lastRenderedPageBreak/>
        <w:t xml:space="preserve">as opposed to </w:t>
      </w:r>
      <w:r w:rsidR="00F62E14">
        <w:rPr>
          <w:rFonts w:ascii="Times New Roman" w:hAnsi="Times New Roman" w:cs="Times New Roman"/>
          <w:sz w:val="24"/>
          <w:szCs w:val="24"/>
        </w:rPr>
        <w:t>the classical secretion methods (</w:t>
      </w:r>
      <w:proofErr w:type="spellStart"/>
      <w:r w:rsidR="00F62E14">
        <w:rPr>
          <w:rFonts w:ascii="Times New Roman" w:hAnsi="Times New Roman" w:cs="Times New Roman"/>
          <w:sz w:val="24"/>
          <w:szCs w:val="24"/>
        </w:rPr>
        <w:t>Inder</w:t>
      </w:r>
      <w:proofErr w:type="spellEnd"/>
      <w:r w:rsidR="00F62E14">
        <w:rPr>
          <w:rFonts w:ascii="Times New Roman" w:hAnsi="Times New Roman" w:cs="Times New Roman"/>
          <w:sz w:val="24"/>
          <w:szCs w:val="24"/>
        </w:rPr>
        <w:t xml:space="preserve">). Other proteins were also found to be differentially secreted via EVs, yet their role was not extensively studied. Hereby, in addition to the previous well-known methods of cancer progression, caveolin-1 appears to </w:t>
      </w:r>
      <w:proofErr w:type="gramStart"/>
      <w:r w:rsidR="00F62E14">
        <w:rPr>
          <w:rFonts w:ascii="Times New Roman" w:hAnsi="Times New Roman" w:cs="Times New Roman"/>
          <w:sz w:val="24"/>
          <w:szCs w:val="24"/>
        </w:rPr>
        <w:t>modulate  extracellular</w:t>
      </w:r>
      <w:proofErr w:type="gramEnd"/>
      <w:r w:rsidR="00F62E14">
        <w:rPr>
          <w:rFonts w:ascii="Times New Roman" w:hAnsi="Times New Roman" w:cs="Times New Roman"/>
          <w:sz w:val="24"/>
          <w:szCs w:val="24"/>
        </w:rPr>
        <w:t xml:space="preserve"> vesicle mediated </w:t>
      </w:r>
      <w:commentRangeStart w:id="3"/>
      <w:r w:rsidR="00F62E14">
        <w:rPr>
          <w:rFonts w:ascii="Times New Roman" w:hAnsi="Times New Roman" w:cs="Times New Roman"/>
          <w:sz w:val="24"/>
          <w:szCs w:val="24"/>
        </w:rPr>
        <w:t>metastasis. Intriguingly</w:t>
      </w:r>
      <w:r>
        <w:rPr>
          <w:rFonts w:ascii="Times New Roman" w:hAnsi="Times New Roman" w:cs="Times New Roman"/>
          <w:sz w:val="24"/>
          <w:szCs w:val="24"/>
        </w:rPr>
        <w:t>, cavin-1 expression also attenuated the EV-mediated release of mi</w:t>
      </w:r>
      <w:r w:rsidR="00B009A1">
        <w:rPr>
          <w:rFonts w:ascii="Times New Roman" w:hAnsi="Times New Roman" w:cs="Times New Roman"/>
          <w:sz w:val="24"/>
          <w:szCs w:val="24"/>
        </w:rPr>
        <w:t>croRNA-</w:t>
      </w:r>
      <w:r>
        <w:rPr>
          <w:rFonts w:ascii="Times New Roman" w:hAnsi="Times New Roman" w:cs="Times New Roman"/>
          <w:sz w:val="24"/>
          <w:szCs w:val="24"/>
        </w:rPr>
        <w:t xml:space="preserve">148a, which was previously reported to mediate bone metastasis through </w:t>
      </w:r>
      <w:proofErr w:type="spellStart"/>
      <w:r>
        <w:rPr>
          <w:rFonts w:ascii="Times New Roman" w:hAnsi="Times New Roman" w:cs="Times New Roman"/>
          <w:sz w:val="24"/>
          <w:szCs w:val="24"/>
        </w:rPr>
        <w:t>osteoclastogenesis</w:t>
      </w:r>
      <w:proofErr w:type="spellEnd"/>
      <w:r>
        <w:rPr>
          <w:rFonts w:ascii="Times New Roman" w:hAnsi="Times New Roman" w:cs="Times New Roman"/>
          <w:sz w:val="24"/>
          <w:szCs w:val="24"/>
        </w:rPr>
        <w:t>. These studies suggest that cavin-1 attenuates the pro-</w:t>
      </w:r>
      <w:r w:rsidR="007579A6">
        <w:rPr>
          <w:rFonts w:ascii="Times New Roman" w:hAnsi="Times New Roman" w:cs="Times New Roman"/>
          <w:sz w:val="24"/>
          <w:szCs w:val="24"/>
        </w:rPr>
        <w:t>metastatic</w:t>
      </w:r>
      <w:r>
        <w:rPr>
          <w:rFonts w:ascii="Times New Roman" w:hAnsi="Times New Roman" w:cs="Times New Roman"/>
          <w:sz w:val="24"/>
          <w:szCs w:val="24"/>
        </w:rPr>
        <w:t xml:space="preserve"> action of caveolin-1 by modulating EV content.</w:t>
      </w:r>
      <w:commentRangeEnd w:id="3"/>
      <w:r w:rsidR="00227A59">
        <w:rPr>
          <w:rStyle w:val="CommentReference"/>
        </w:rPr>
        <w:commentReference w:id="3"/>
      </w:r>
    </w:p>
    <w:p w14:paraId="4AAFA894" w14:textId="69511C68" w:rsidR="00652B1B" w:rsidRPr="00652B1B" w:rsidRDefault="00652B1B" w:rsidP="002C55D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Extracellular vesicles</w:t>
      </w:r>
      <w:r>
        <w:rPr>
          <w:rFonts w:ascii="Times New Roman" w:hAnsi="Times New Roman" w:cs="Times New Roman"/>
          <w:b/>
          <w:sz w:val="24"/>
          <w:szCs w:val="24"/>
        </w:rPr>
        <w:t xml:space="preserve"> and Cancer</w:t>
      </w:r>
      <w:r w:rsidRPr="00652B1B">
        <w:rPr>
          <w:rFonts w:ascii="Times New Roman" w:hAnsi="Times New Roman" w:cs="Times New Roman"/>
          <w:b/>
          <w:sz w:val="24"/>
          <w:szCs w:val="24"/>
        </w:rPr>
        <w:t xml:space="preserve">: </w:t>
      </w:r>
    </w:p>
    <w:p w14:paraId="7642CC0A" w14:textId="4283C510" w:rsidR="00B4460E" w:rsidRPr="00B4460E" w:rsidRDefault="00415B8F" w:rsidP="009A0B40">
      <w:pPr>
        <w:spacing w:line="480" w:lineRule="auto"/>
        <w:rPr>
          <w:rFonts w:ascii="Times New Roman" w:hAnsi="Times New Roman" w:cs="Times New Roman"/>
          <w:sz w:val="24"/>
          <w:szCs w:val="24"/>
        </w:rPr>
      </w:pPr>
      <w:r w:rsidRPr="00B23259">
        <w:rPr>
          <w:rFonts w:ascii="Times New Roman" w:hAnsi="Times New Roman" w:cs="Times New Roman"/>
          <w:sz w:val="24"/>
          <w:szCs w:val="24"/>
        </w:rPr>
        <w:t xml:space="preserve">Secreted membrane-bound vesicles, consisting of exosomes and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collectively ca</w:t>
      </w:r>
      <w:r w:rsidR="009A0B40">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w:t>
      </w:r>
      <w:r w:rsidR="00CF7D14">
        <w:rPr>
          <w:rFonts w:ascii="Times New Roman" w:hAnsi="Times New Roman" w:cs="Times New Roman"/>
          <w:sz w:val="24"/>
          <w:szCs w:val="24"/>
        </w:rPr>
        <w:fldChar w:fldCharType="begin"/>
      </w:r>
      <w:r w:rsidR="00CF7D14">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25" w:tooltip="Pegtel, 2014 #174" w:history="1">
        <w:r w:rsidR="00F62E14">
          <w:rPr>
            <w:rFonts w:ascii="Times New Roman" w:hAnsi="Times New Roman" w:cs="Times New Roman"/>
            <w:noProof/>
            <w:sz w:val="24"/>
            <w:szCs w:val="24"/>
          </w:rPr>
          <w:t>Pegtel</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Pr="00B23259">
        <w:rPr>
          <w:rFonts w:ascii="Times New Roman" w:hAnsi="Times New Roman" w:cs="Times New Roman"/>
          <w:sz w:val="24"/>
          <w:szCs w:val="24"/>
        </w:rPr>
        <w:t xml:space="preserve">. Exosomes are defined as 40-100nm diameter extracellular vesicles which are released upon fusion of the </w:t>
      </w:r>
      <w:proofErr w:type="spellStart"/>
      <w:r w:rsidRPr="00B23259">
        <w:rPr>
          <w:rFonts w:ascii="Times New Roman" w:hAnsi="Times New Roman" w:cs="Times New Roman"/>
          <w:sz w:val="24"/>
          <w:szCs w:val="24"/>
        </w:rPr>
        <w:t>multivesicular</w:t>
      </w:r>
      <w:proofErr w:type="spellEnd"/>
      <w:r w:rsidRPr="00B23259">
        <w:rPr>
          <w:rFonts w:ascii="Times New Roman" w:hAnsi="Times New Roman" w:cs="Times New Roman"/>
          <w:sz w:val="24"/>
          <w:szCs w:val="24"/>
        </w:rPr>
        <w:t xml:space="preserve"> bodies with the plasma membrane (</w:t>
      </w:r>
      <w:proofErr w:type="spellStart"/>
      <w:r w:rsidRPr="00B23259">
        <w:rPr>
          <w:rFonts w:ascii="Times New Roman" w:hAnsi="Times New Roman" w:cs="Times New Roman"/>
          <w:sz w:val="24"/>
          <w:szCs w:val="24"/>
        </w:rPr>
        <w:t>Gu</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xml:space="preserve"> (≥100nm) differ from exosomes by being released from budding of the plasma membrane (</w:t>
      </w:r>
      <w:proofErr w:type="spellStart"/>
      <w:r w:rsidRPr="00B23259">
        <w:rPr>
          <w:rFonts w:ascii="Times New Roman" w:hAnsi="Times New Roman" w:cs="Times New Roman"/>
          <w:sz w:val="24"/>
          <w:szCs w:val="24"/>
        </w:rPr>
        <w:t>Minciacchi</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2015). </w:t>
      </w:r>
      <w:r w:rsidR="00FC1F9D">
        <w:rPr>
          <w:rFonts w:ascii="Times New Roman" w:hAnsi="Times New Roman" w:cs="Times New Roman"/>
          <w:sz w:val="24"/>
          <w:szCs w:val="24"/>
        </w:rPr>
        <w:t xml:space="preserve">This report focuses on the total mixed population of EVs. </w:t>
      </w:r>
      <w:r w:rsidRPr="00B23259">
        <w:rPr>
          <w:rFonts w:ascii="Times New Roman" w:hAnsi="Times New Roman" w:cs="Times New Roman"/>
          <w:sz w:val="24"/>
          <w:szCs w:val="24"/>
        </w:rPr>
        <w:t>EV cargo consists of cytoplasmic material, functional RNA and pr</w:t>
      </w:r>
      <w:r w:rsidR="00BD4567">
        <w:rPr>
          <w:rFonts w:ascii="Times New Roman" w:hAnsi="Times New Roman" w:cs="Times New Roman"/>
          <w:sz w:val="24"/>
          <w:szCs w:val="24"/>
        </w:rPr>
        <w:t>oteins</w:t>
      </w:r>
      <w:r w:rsidRPr="00B23259">
        <w:rPr>
          <w:rFonts w:ascii="Times New Roman" w:hAnsi="Times New Roman" w:cs="Times New Roman"/>
          <w:sz w:val="24"/>
          <w:szCs w:val="24"/>
        </w:rPr>
        <w:t xml:space="preserve"> (</w:t>
      </w:r>
      <w:proofErr w:type="spellStart"/>
      <w:r w:rsidRPr="00B23259">
        <w:rPr>
          <w:rFonts w:ascii="Times New Roman" w:hAnsi="Times New Roman" w:cs="Times New Roman"/>
          <w:sz w:val="24"/>
          <w:szCs w:val="24"/>
        </w:rPr>
        <w:t>Stoorvogel</w:t>
      </w:r>
      <w:proofErr w:type="spellEnd"/>
      <w:r w:rsidRPr="00B23259">
        <w:rPr>
          <w:rFonts w:ascii="Times New Roman" w:hAnsi="Times New Roman" w:cs="Times New Roman"/>
          <w:sz w:val="24"/>
          <w:szCs w:val="24"/>
        </w:rPr>
        <w:t xml:space="preserve"> 2015). Secretion and uptake of the extracellular vesicles has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001C4FC2">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1C4FC2">
        <w:rPr>
          <w:rFonts w:ascii="Times New Roman" w:hAnsi="Times New Roman" w:cs="Times New Roman"/>
          <w:sz w:val="24"/>
          <w:szCs w:val="24"/>
        </w:rPr>
      </w:r>
      <w:r w:rsidR="001C4FC2">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19" w:tooltip="McKechnie, 2006 #169" w:history="1">
        <w:r w:rsidR="00F62E14">
          <w:rPr>
            <w:rFonts w:ascii="Times New Roman" w:hAnsi="Times New Roman" w:cs="Times New Roman"/>
            <w:noProof/>
            <w:sz w:val="24"/>
            <w:szCs w:val="24"/>
          </w:rPr>
          <w:t>McKechnie</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2006</w:t>
        </w:r>
      </w:hyperlink>
      <w:r w:rsidR="00CF7D14">
        <w:rPr>
          <w:rFonts w:ascii="Times New Roman" w:hAnsi="Times New Roman" w:cs="Times New Roman"/>
          <w:noProof/>
          <w:sz w:val="24"/>
          <w:szCs w:val="24"/>
        </w:rPr>
        <w:t xml:space="preserve">; </w:t>
      </w:r>
      <w:hyperlink w:anchor="_ENREF_32" w:tooltip="Wysoczynski, 2009 #176" w:history="1">
        <w:r w:rsidR="00F62E14">
          <w:rPr>
            <w:rFonts w:ascii="Times New Roman" w:hAnsi="Times New Roman" w:cs="Times New Roman"/>
            <w:noProof/>
            <w:sz w:val="24"/>
            <w:szCs w:val="24"/>
          </w:rPr>
          <w:t>Wysoczynski and Ratajczak 2009</w:t>
        </w:r>
      </w:hyperlink>
      <w:r w:rsidR="00CF7D14">
        <w:rPr>
          <w:rFonts w:ascii="Times New Roman" w:hAnsi="Times New Roman" w:cs="Times New Roman"/>
          <w:noProof/>
          <w:sz w:val="24"/>
          <w:szCs w:val="24"/>
        </w:rPr>
        <w:t xml:space="preserve">; </w:t>
      </w:r>
      <w:hyperlink w:anchor="_ENREF_13" w:tooltip="Hedlund, 2011 #175" w:history="1">
        <w:r w:rsidR="00F62E14">
          <w:rPr>
            <w:rFonts w:ascii="Times New Roman" w:hAnsi="Times New Roman" w:cs="Times New Roman"/>
            <w:noProof/>
            <w:sz w:val="24"/>
            <w:szCs w:val="24"/>
          </w:rPr>
          <w:t>Hedlund</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2011</w:t>
        </w:r>
      </w:hyperlink>
      <w:r w:rsidR="00CF7D14">
        <w:rPr>
          <w:rFonts w:ascii="Times New Roman" w:hAnsi="Times New Roman" w:cs="Times New Roman"/>
          <w:noProof/>
          <w:sz w:val="24"/>
          <w:szCs w:val="24"/>
        </w:rPr>
        <w:t>)</w:t>
      </w:r>
      <w:r w:rsidR="001C4FC2">
        <w:rPr>
          <w:rFonts w:ascii="Times New Roman" w:hAnsi="Times New Roman" w:cs="Times New Roman"/>
          <w:sz w:val="24"/>
          <w:szCs w:val="24"/>
        </w:rPr>
        <w:fldChar w:fldCharType="end"/>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CF7D14">
        <w:rPr>
          <w:rFonts w:ascii="Times New Roman" w:hAnsi="Times New Roman" w:cs="Times New Roman"/>
          <w:sz w:val="24"/>
          <w:szCs w:val="24"/>
        </w:rPr>
        <w:t xml:space="preserve"> </w: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CF7D14">
        <w:rPr>
          <w:rFonts w:ascii="Times New Roman" w:hAnsi="Times New Roman" w:cs="Times New Roman"/>
          <w:sz w:val="24"/>
          <w:szCs w:val="24"/>
        </w:rPr>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4" w:tooltip="Costa-Silva, 2015 #177" w:history="1">
        <w:r w:rsidR="00F62E14">
          <w:rPr>
            <w:rFonts w:ascii="Times New Roman" w:hAnsi="Times New Roman" w:cs="Times New Roman"/>
            <w:noProof/>
            <w:sz w:val="24"/>
            <w:szCs w:val="24"/>
          </w:rPr>
          <w:t>Costa-Silva</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 xml:space="preserve">; </w:t>
      </w:r>
      <w:hyperlink w:anchor="_ENREF_26" w:tooltip="Ramteke, 2015 #178" w:history="1">
        <w:r w:rsidR="00F62E14">
          <w:rPr>
            <w:rFonts w:ascii="Times New Roman" w:hAnsi="Times New Roman" w:cs="Times New Roman"/>
            <w:noProof/>
            <w:sz w:val="24"/>
            <w:szCs w:val="24"/>
          </w:rPr>
          <w:t>Ramteke</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B23259">
        <w:rPr>
          <w:rFonts w:ascii="Times New Roman" w:hAnsi="Times New Roman" w:cs="Times New Roman"/>
          <w:sz w:val="24"/>
          <w:szCs w:val="24"/>
        </w:rPr>
        <w:t>.</w:t>
      </w:r>
      <w:r w:rsidR="00A51AFF">
        <w:rPr>
          <w:rFonts w:ascii="Times New Roman" w:hAnsi="Times New Roman" w:cs="Times New Roman"/>
          <w:sz w:val="24"/>
          <w:szCs w:val="24"/>
        </w:rPr>
        <w:t xml:space="preserve"> </w:t>
      </w:r>
      <w:r w:rsidR="00B95120">
        <w:rPr>
          <w:rFonts w:ascii="Times New Roman" w:hAnsi="Times New Roman" w:cs="Times New Roman"/>
          <w:sz w:val="24"/>
          <w:szCs w:val="24"/>
        </w:rPr>
        <w:t>Primarily this is attributed to the proteomic EV content being introduced into the endogenous population of the target cell, such as introduction of beta-catenin, epidermal growth factor</w:t>
      </w:r>
      <w:bookmarkStart w:id="4" w:name="_GoBack"/>
      <w:bookmarkEnd w:id="4"/>
      <w:r w:rsidR="00B95120">
        <w:rPr>
          <w:rFonts w:ascii="Times New Roman" w:hAnsi="Times New Roman" w:cs="Times New Roman"/>
          <w:sz w:val="24"/>
          <w:szCs w:val="24"/>
        </w:rPr>
        <w:t xml:space="preserve"> </w:t>
      </w:r>
      <w:r w:rsidR="006E2E1A">
        <w:rPr>
          <w:rFonts w:ascii="Times New Roman" w:hAnsi="Times New Roman" w:cs="Times New Roman"/>
          <w:sz w:val="24"/>
          <w:szCs w:val="24"/>
        </w:rPr>
        <w:t xml:space="preserve">receptor </w:t>
      </w:r>
      <w:r w:rsidR="00B95120">
        <w:rPr>
          <w:rFonts w:ascii="Times New Roman" w:hAnsi="Times New Roman" w:cs="Times New Roman"/>
          <w:sz w:val="24"/>
          <w:szCs w:val="24"/>
        </w:rPr>
        <w:t>and major eleme</w:t>
      </w:r>
      <w:r w:rsidR="009A0B40">
        <w:rPr>
          <w:rFonts w:ascii="Times New Roman" w:hAnsi="Times New Roman" w:cs="Times New Roman"/>
          <w:sz w:val="24"/>
          <w:szCs w:val="24"/>
        </w:rPr>
        <w:t>nts of the MAPK pathway</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 </w:instrTex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EN.CITE.DATA </w:instrText>
      </w:r>
      <w:r w:rsidR="006E2E1A">
        <w:rPr>
          <w:rFonts w:ascii="Times New Roman" w:hAnsi="Times New Roman" w:cs="Times New Roman"/>
          <w:sz w:val="24"/>
          <w:szCs w:val="24"/>
        </w:rPr>
      </w:r>
      <w:r w:rsidR="006E2E1A">
        <w:rPr>
          <w:rFonts w:ascii="Times New Roman" w:hAnsi="Times New Roman" w:cs="Times New Roman"/>
          <w:sz w:val="24"/>
          <w:szCs w:val="24"/>
        </w:rPr>
        <w:fldChar w:fldCharType="end"/>
      </w:r>
      <w:r w:rsidR="006E2E1A">
        <w:rPr>
          <w:rFonts w:ascii="Times New Roman" w:hAnsi="Times New Roman" w:cs="Times New Roman"/>
          <w:sz w:val="24"/>
          <w:szCs w:val="24"/>
        </w:rPr>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6" w:tooltip="Dovrat, 2014 #180" w:history="1">
        <w:r w:rsidR="00F62E14">
          <w:rPr>
            <w:rFonts w:ascii="Times New Roman" w:hAnsi="Times New Roman" w:cs="Times New Roman"/>
            <w:noProof/>
            <w:sz w:val="24"/>
            <w:szCs w:val="24"/>
          </w:rPr>
          <w:t>Dovrat</w:t>
        </w:r>
        <w:r w:rsidR="00F62E14" w:rsidRPr="006E2E1A">
          <w:rPr>
            <w:rFonts w:ascii="Times New Roman" w:hAnsi="Times New Roman" w:cs="Times New Roman"/>
            <w:i/>
            <w:noProof/>
            <w:sz w:val="24"/>
            <w:szCs w:val="24"/>
          </w:rPr>
          <w:t xml:space="preserve"> </w:t>
        </w:r>
        <w:r w:rsidR="00F62E14" w:rsidRPr="006E2E1A">
          <w:rPr>
            <w:rFonts w:ascii="Times New Roman" w:hAnsi="Times New Roman" w:cs="Times New Roman"/>
            <w:i/>
            <w:noProof/>
            <w:sz w:val="24"/>
            <w:szCs w:val="24"/>
          </w:rPr>
          <w:lastRenderedPageBreak/>
          <w:t>et al.</w:t>
        </w:r>
        <w:r w:rsidR="00F62E14">
          <w:rPr>
            <w:rFonts w:ascii="Times New Roman" w:hAnsi="Times New Roman" w:cs="Times New Roman"/>
            <w:noProof/>
            <w:sz w:val="24"/>
            <w:szCs w:val="24"/>
          </w:rPr>
          <w:t xml:space="preserve"> 2014</w:t>
        </w:r>
      </w:hyperlink>
      <w:r w:rsidR="006E2E1A">
        <w:rPr>
          <w:rFonts w:ascii="Times New Roman" w:hAnsi="Times New Roman" w:cs="Times New Roman"/>
          <w:noProof/>
          <w:sz w:val="24"/>
          <w:szCs w:val="24"/>
        </w:rPr>
        <w:t xml:space="preserve">; </w:t>
      </w:r>
      <w:hyperlink w:anchor="_ENREF_16" w:tooltip="Kharmate, 2016 #181" w:history="1">
        <w:r w:rsidR="00F62E14">
          <w:rPr>
            <w:rFonts w:ascii="Times New Roman" w:hAnsi="Times New Roman" w:cs="Times New Roman"/>
            <w:noProof/>
            <w:sz w:val="24"/>
            <w:szCs w:val="24"/>
          </w:rPr>
          <w:t>Kharmate</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 xml:space="preserve">; </w:t>
      </w:r>
      <w:hyperlink w:anchor="_ENREF_28" w:tooltip="Song, 2016 #179" w:history="1">
        <w:r w:rsidR="00F62E14">
          <w:rPr>
            <w:rFonts w:ascii="Times New Roman" w:hAnsi="Times New Roman" w:cs="Times New Roman"/>
            <w:noProof/>
            <w:sz w:val="24"/>
            <w:szCs w:val="24"/>
          </w:rPr>
          <w:t>Song</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9A0B40">
        <w:rPr>
          <w:rFonts w:ascii="Times New Roman" w:hAnsi="Times New Roman" w:cs="Times New Roman"/>
          <w:sz w:val="24"/>
          <w:szCs w:val="24"/>
        </w:rPr>
        <w:t>.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59D374EE" w14:textId="2039AA40" w:rsidR="00652B1B" w:rsidRPr="00652B1B" w:rsidRDefault="00652B1B" w:rsidP="00652B1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Horizontal Transfer of microRNAs via Extracellular Vesicles: </w:t>
      </w:r>
    </w:p>
    <w:p w14:paraId="7DF90B64" w14:textId="3D196FCF"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are derived from longer transcripts that undergo processing and shuttling events to give rise to functional mature sequences, k</w:t>
      </w:r>
      <w:r w:rsidR="006E2E1A">
        <w:rPr>
          <w:rFonts w:ascii="Times New Roman" w:hAnsi="Times New Roman" w:cs="Times New Roman"/>
          <w:sz w:val="24"/>
          <w:szCs w:val="24"/>
        </w:rPr>
        <w:t xml:space="preserve">nown to induce RNA degradation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11" w:tooltip="Ha, 2014 #151" w:history="1">
        <w:r w:rsidR="00F62E14">
          <w:rPr>
            <w:rFonts w:ascii="Times New Roman" w:hAnsi="Times New Roman" w:cs="Times New Roman"/>
            <w:noProof/>
            <w:sz w:val="24"/>
            <w:szCs w:val="24"/>
          </w:rPr>
          <w:t>Ha and Kim 2014</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5" w:tooltip="Djuranovic, 2012 #150" w:history="1">
        <w:r w:rsidR="00F62E14">
          <w:rPr>
            <w:rFonts w:ascii="Times New Roman" w:hAnsi="Times New Roman" w:cs="Times New Roman"/>
            <w:noProof/>
            <w:sz w:val="24"/>
            <w:szCs w:val="24"/>
          </w:rPr>
          <w:t>Djuranovic</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6E2E1A">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w:t>
      </w:r>
      <w:r w:rsidR="00BC6ED9">
        <w:rPr>
          <w:rFonts w:ascii="Times New Roman" w:hAnsi="Times New Roman" w:cs="Times New Roman"/>
          <w:sz w:val="24"/>
          <w:szCs w:val="24"/>
        </w:rPr>
        <w:t>y 60% of the mammalian genome are</w:t>
      </w:r>
      <w:r w:rsidR="00DC5042">
        <w:rPr>
          <w:rFonts w:ascii="Times New Roman" w:hAnsi="Times New Roman" w:cs="Times New Roman"/>
          <w:sz w:val="24"/>
          <w:szCs w:val="24"/>
        </w:rPr>
        <w:t xml:space="preserve">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8" w:tooltip="Friedman, 2009 #153" w:history="1">
        <w:r w:rsidR="00F62E14">
          <w:rPr>
            <w:rFonts w:ascii="Times New Roman" w:hAnsi="Times New Roman" w:cs="Times New Roman"/>
            <w:noProof/>
            <w:sz w:val="24"/>
            <w:szCs w:val="24"/>
          </w:rPr>
          <w:t>Friedman</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2009</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DC5042">
        <w:rPr>
          <w:rFonts w:ascii="Times New Roman" w:hAnsi="Times New Roman" w:cs="Times New Roman"/>
          <w:sz w:val="24"/>
          <w:szCs w:val="24"/>
        </w:rPr>
        <w:t xml:space="preserve">. </w:t>
      </w:r>
      <w:r w:rsidR="00880D74">
        <w:rPr>
          <w:rFonts w:ascii="Times New Roman" w:hAnsi="Times New Roman" w:cs="Times New Roman"/>
          <w:sz w:val="24"/>
          <w:szCs w:val="24"/>
        </w:rPr>
        <w:t>This in</w:t>
      </w:r>
      <w:r w:rsidR="00BC6ED9">
        <w:rPr>
          <w:rFonts w:ascii="Times New Roman" w:hAnsi="Times New Roman" w:cs="Times New Roman"/>
          <w:sz w:val="24"/>
          <w:szCs w:val="24"/>
        </w:rPr>
        <w:t>dicates</w:t>
      </w:r>
      <w:r w:rsidR="00880D74">
        <w:rPr>
          <w:rFonts w:ascii="Times New Roman" w:hAnsi="Times New Roman" w:cs="Times New Roman"/>
          <w:sz w:val="24"/>
          <w:szCs w:val="24"/>
        </w:rPr>
        <w:t xml:space="preserve">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BC6ED9">
        <w:rPr>
          <w:rFonts w:ascii="Times New Roman" w:hAnsi="Times New Roman" w:cs="Times New Roman"/>
          <w:sz w:val="24"/>
          <w:szCs w:val="24"/>
        </w:rPr>
        <w:t>T</w:t>
      </w:r>
      <w:r w:rsidR="00C2738E">
        <w:rPr>
          <w:rFonts w:ascii="Times New Roman" w:hAnsi="Times New Roman" w:cs="Times New Roman"/>
          <w:sz w:val="24"/>
          <w:szCs w:val="24"/>
        </w:rPr>
        <w:t xml:space="preserve">his is </w:t>
      </w:r>
      <w:r w:rsidR="00BC6ED9">
        <w:rPr>
          <w:rFonts w:ascii="Times New Roman" w:hAnsi="Times New Roman" w:cs="Times New Roman"/>
          <w:sz w:val="24"/>
          <w:szCs w:val="24"/>
        </w:rPr>
        <w:t xml:space="preserve">thought to be </w:t>
      </w:r>
      <w:r w:rsidR="00C2738E">
        <w:rPr>
          <w:rFonts w:ascii="Times New Roman" w:hAnsi="Times New Roman" w:cs="Times New Roman"/>
          <w:sz w:val="24"/>
          <w:szCs w:val="24"/>
        </w:rPr>
        <w:t>maintained by the high content of RNa</w:t>
      </w:r>
      <w:r w:rsidR="00577A2B">
        <w:rPr>
          <w:rFonts w:ascii="Times New Roman" w:hAnsi="Times New Roman" w:cs="Times New Roman"/>
          <w:sz w:val="24"/>
          <w:szCs w:val="24"/>
        </w:rPr>
        <w:t>ses in the extracellular s</w:t>
      </w:r>
      <w:r w:rsidR="00BC6ED9">
        <w:rPr>
          <w:rFonts w:ascii="Times New Roman" w:hAnsi="Times New Roman" w:cs="Times New Roman"/>
          <w:sz w:val="24"/>
          <w:szCs w:val="24"/>
        </w:rPr>
        <w:t xml:space="preserve">erum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translocation across extracellular space</w:t>
      </w:r>
      <w:r w:rsidR="00BC6ED9">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 </w:instrTex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EN.CITE.DATA </w:instrText>
      </w:r>
      <w:r w:rsidR="0063105D">
        <w:rPr>
          <w:rFonts w:ascii="Times New Roman" w:hAnsi="Times New Roman" w:cs="Times New Roman"/>
          <w:sz w:val="24"/>
          <w:szCs w:val="24"/>
        </w:rPr>
      </w:r>
      <w:r w:rsidR="0063105D">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3105D">
        <w:rPr>
          <w:rFonts w:ascii="Times New Roman" w:hAnsi="Times New Roman" w:cs="Times New Roman"/>
          <w:noProof/>
          <w:sz w:val="24"/>
          <w:szCs w:val="24"/>
        </w:rPr>
        <w:t>(</w:t>
      </w:r>
      <w:hyperlink w:anchor="_ENREF_27" w:tooltip="Reddi, 1976 #156" w:history="1">
        <w:r w:rsidR="00F62E14">
          <w:rPr>
            <w:rFonts w:ascii="Times New Roman" w:hAnsi="Times New Roman" w:cs="Times New Roman"/>
            <w:noProof/>
            <w:sz w:val="24"/>
            <w:szCs w:val="24"/>
          </w:rPr>
          <w:t>Reddi and Holland 1976</w:t>
        </w:r>
      </w:hyperlink>
      <w:r w:rsidR="0063105D">
        <w:rPr>
          <w:rFonts w:ascii="Times New Roman" w:hAnsi="Times New Roman" w:cs="Times New Roman"/>
          <w:noProof/>
          <w:sz w:val="24"/>
          <w:szCs w:val="24"/>
        </w:rPr>
        <w:t xml:space="preserve">; </w:t>
      </w:r>
      <w:hyperlink w:anchor="_ENREF_29" w:tooltip="Tsui, 2002 #182" w:history="1">
        <w:r w:rsidR="00F62E14">
          <w:rPr>
            <w:rFonts w:ascii="Times New Roman" w:hAnsi="Times New Roman" w:cs="Times New Roman"/>
            <w:noProof/>
            <w:sz w:val="24"/>
            <w:szCs w:val="24"/>
          </w:rPr>
          <w:t>Tsui</w:t>
        </w:r>
        <w:r w:rsidR="00F62E14" w:rsidRPr="0063105D">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2002</w:t>
        </w:r>
      </w:hyperlink>
      <w:r w:rsidR="0063105D">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577A2B">
        <w:rPr>
          <w:rFonts w:ascii="Times New Roman" w:hAnsi="Times New Roman" w:cs="Times New Roman"/>
          <w:sz w:val="24"/>
          <w:szCs w:val="24"/>
        </w:rPr>
        <w:t xml:space="preserv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w:t>
      </w:r>
      <w:r w:rsidR="0063105D">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 </w:instrText>
      </w:r>
      <w:r w:rsidR="00625BA0">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EN.CITE.DATA </w:instrText>
      </w:r>
      <w:r w:rsidR="00625BA0">
        <w:rPr>
          <w:rFonts w:ascii="Times New Roman" w:hAnsi="Times New Roman" w:cs="Times New Roman"/>
          <w:sz w:val="24"/>
          <w:szCs w:val="24"/>
        </w:rPr>
      </w:r>
      <w:r w:rsidR="00625BA0">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25BA0">
        <w:rPr>
          <w:rFonts w:ascii="Times New Roman" w:hAnsi="Times New Roman" w:cs="Times New Roman"/>
          <w:noProof/>
          <w:sz w:val="24"/>
          <w:szCs w:val="24"/>
        </w:rPr>
        <w:t>(</w:t>
      </w:r>
      <w:hyperlink w:anchor="_ENREF_17" w:tooltip="Kosaka, 2010 #183" w:history="1">
        <w:r w:rsidR="00F62E14">
          <w:rPr>
            <w:rFonts w:ascii="Times New Roman" w:hAnsi="Times New Roman" w:cs="Times New Roman"/>
            <w:noProof/>
            <w:sz w:val="24"/>
            <w:szCs w:val="24"/>
          </w:rPr>
          <w:t>Kosaka</w:t>
        </w:r>
        <w:r w:rsidR="00F62E14" w:rsidRPr="00625BA0">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2010</w:t>
        </w:r>
      </w:hyperlink>
      <w:r w:rsidR="00625BA0">
        <w:rPr>
          <w:rFonts w:ascii="Times New Roman" w:hAnsi="Times New Roman" w:cs="Times New Roman"/>
          <w:noProof/>
          <w:sz w:val="24"/>
          <w:szCs w:val="24"/>
        </w:rPr>
        <w:t xml:space="preserve">; </w:t>
      </w:r>
      <w:hyperlink w:anchor="_ENREF_21" w:tooltip="Montecalvo, 2012 #184" w:history="1">
        <w:r w:rsidR="00F62E14">
          <w:rPr>
            <w:rFonts w:ascii="Times New Roman" w:hAnsi="Times New Roman" w:cs="Times New Roman"/>
            <w:noProof/>
            <w:sz w:val="24"/>
            <w:szCs w:val="24"/>
          </w:rPr>
          <w:t>Montecalvo</w:t>
        </w:r>
        <w:r w:rsidR="00F62E14" w:rsidRPr="00625BA0">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625BA0">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4D0458">
        <w:rPr>
          <w:rFonts w:ascii="Times New Roman" w:hAnsi="Times New Roman" w:cs="Times New Roman"/>
          <w:sz w:val="24"/>
          <w:szCs w:val="24"/>
        </w:rPr>
        <w:t xml:space="preserve">. </w:t>
      </w:r>
    </w:p>
    <w:p w14:paraId="2945066B" w14:textId="4800480E" w:rsidR="008E6AFE" w:rsidRDefault="00652B1B" w:rsidP="006E5436">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investigate the role of caveolin-1 in prostate cancer</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F62E14">
        <w:rPr>
          <w:rFonts w:ascii="Times New Roman" w:hAnsi="Times New Roman" w:cs="Times New Roman"/>
          <w:sz w:val="24"/>
          <w:szCs w:val="24"/>
        </w:rPr>
        <w:instrText xml:space="preserve"> ADDIN EN.CITE </w:instrText>
      </w:r>
      <w:r w:rsidR="00F62E14">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F62E14">
        <w:rPr>
          <w:rFonts w:ascii="Times New Roman" w:hAnsi="Times New Roman" w:cs="Times New Roman"/>
          <w:sz w:val="24"/>
          <w:szCs w:val="24"/>
        </w:rPr>
        <w:instrText xml:space="preserve"> ADDIN EN.CITE.DATA </w:instrText>
      </w:r>
      <w:r w:rsidR="00F62E14">
        <w:rPr>
          <w:rFonts w:ascii="Times New Roman" w:hAnsi="Times New Roman" w:cs="Times New Roman"/>
          <w:sz w:val="24"/>
          <w:szCs w:val="24"/>
        </w:rPr>
      </w:r>
      <w:r w:rsidR="00F62E14">
        <w:rPr>
          <w:rFonts w:ascii="Times New Roman" w:hAnsi="Times New Roman" w:cs="Times New Roman"/>
          <w:sz w:val="24"/>
          <w:szCs w:val="24"/>
        </w:rPr>
        <w:fldChar w:fldCharType="end"/>
      </w:r>
      <w:r w:rsidR="00543805">
        <w:rPr>
          <w:rFonts w:ascii="Times New Roman" w:hAnsi="Times New Roman" w:cs="Times New Roman"/>
          <w:sz w:val="24"/>
          <w:szCs w:val="24"/>
        </w:rPr>
        <w:fldChar w:fldCharType="separate"/>
      </w:r>
      <w:r w:rsidR="00F62E14">
        <w:rPr>
          <w:rFonts w:ascii="Times New Roman" w:hAnsi="Times New Roman" w:cs="Times New Roman"/>
          <w:noProof/>
          <w:sz w:val="24"/>
          <w:szCs w:val="24"/>
        </w:rPr>
        <w:t>(</w:t>
      </w:r>
      <w:hyperlink w:anchor="_ENREF_15" w:tooltip="Inder, 2014 #9" w:history="1">
        <w:r w:rsidR="00F62E14">
          <w:rPr>
            <w:rFonts w:ascii="Times New Roman" w:hAnsi="Times New Roman" w:cs="Times New Roman"/>
            <w:noProof/>
            <w:sz w:val="24"/>
            <w:szCs w:val="24"/>
          </w:rPr>
          <w:t>Inder</w:t>
        </w:r>
        <w:r w:rsidR="00F62E14" w:rsidRPr="00F62E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F62E14">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caveolin or cavin-1. </w:t>
      </w:r>
      <w:r w:rsidR="008E6AFE">
        <w:rPr>
          <w:rFonts w:ascii="Times New Roman" w:hAnsi="Times New Roman" w:cs="Times New Roman"/>
          <w:sz w:val="24"/>
          <w:szCs w:val="24"/>
        </w:rPr>
        <w:t xml:space="preserve">In addition to </w:t>
      </w:r>
      <w:r w:rsidR="008E6AFE">
        <w:rPr>
          <w:rFonts w:ascii="Times New Roman" w:hAnsi="Times New Roman" w:cs="Times New Roman"/>
          <w:sz w:val="24"/>
          <w:szCs w:val="24"/>
        </w:rPr>
        <w:lastRenderedPageBreak/>
        <w:t>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punitive tumour suppressor, cavin-1, modified miRNAs found within EVs; miR-148a and miR-125a</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 </w:instrTex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EN.CITE.DATA </w:instrText>
      </w:r>
      <w:r w:rsidR="00543805">
        <w:rPr>
          <w:rFonts w:ascii="Times New Roman" w:hAnsi="Times New Roman" w:cs="Times New Roman"/>
          <w:sz w:val="24"/>
          <w:szCs w:val="24"/>
        </w:rPr>
      </w:r>
      <w:r w:rsidR="00543805">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543805">
        <w:rPr>
          <w:rFonts w:ascii="Times New Roman" w:hAnsi="Times New Roman" w:cs="Times New Roman"/>
          <w:noProof/>
          <w:sz w:val="24"/>
          <w:szCs w:val="24"/>
        </w:rPr>
        <w:t>(</w:t>
      </w:r>
      <w:hyperlink w:anchor="_ENREF_15" w:tooltip="Inder, 2014 #9" w:history="1">
        <w:r w:rsidR="00F62E14">
          <w:rPr>
            <w:rFonts w:ascii="Times New Roman" w:hAnsi="Times New Roman" w:cs="Times New Roman"/>
            <w:noProof/>
            <w:sz w:val="24"/>
            <w:szCs w:val="24"/>
          </w:rPr>
          <w:t>Inder et al. 2014</w:t>
        </w:r>
      </w:hyperlink>
      <w:r w:rsidR="00543805">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B863F4">
        <w:rPr>
          <w:rFonts w:ascii="Times New Roman" w:hAnsi="Times New Roman" w:cs="Times New Roman"/>
          <w:sz w:val="24"/>
          <w:szCs w:val="24"/>
        </w:rPr>
        <w:t xml:space="preserve">. Upon closer investigation, expression of miR-148a in </w:t>
      </w:r>
      <w:r w:rsidR="00FE7AED">
        <w:rPr>
          <w:rFonts w:ascii="Times New Roman" w:hAnsi="Times New Roman" w:cs="Times New Roman"/>
          <w:sz w:val="24"/>
          <w:szCs w:val="24"/>
        </w:rPr>
        <w:t xml:space="preserve">bone marrow was reported to induce </w:t>
      </w:r>
      <w:proofErr w:type="spellStart"/>
      <w:r w:rsidR="00FE7AED">
        <w:rPr>
          <w:rFonts w:ascii="Times New Roman" w:hAnsi="Times New Roman" w:cs="Times New Roman"/>
          <w:sz w:val="24"/>
          <w:szCs w:val="24"/>
        </w:rPr>
        <w:t>osteoclastogenesis</w:t>
      </w:r>
      <w:proofErr w:type="spellEnd"/>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w:t>
      </w:r>
      <w:r w:rsidR="00B54929" w:rsidRPr="00543805">
        <w:rPr>
          <w:rFonts w:ascii="Times New Roman" w:hAnsi="Times New Roman" w:cs="Times New Roman"/>
          <w:sz w:val="24"/>
          <w:szCs w:val="24"/>
        </w:rPr>
        <w:t xml:space="preserve">targeting </w:t>
      </w:r>
      <w:r w:rsidR="008F5494" w:rsidRPr="00543805">
        <w:rPr>
          <w:rFonts w:ascii="Times New Roman" w:hAnsi="Times New Roman" w:cs="Times New Roman"/>
          <w:sz w:val="24"/>
          <w:szCs w:val="24"/>
        </w:rPr>
        <w:t xml:space="preserve">an inhibitory transcription factor, MAFB, of the RANKL-induced </w:t>
      </w:r>
      <w:proofErr w:type="spellStart"/>
      <w:r w:rsidR="008F5494" w:rsidRPr="00543805">
        <w:rPr>
          <w:rFonts w:ascii="Times New Roman" w:hAnsi="Times New Roman" w:cs="Times New Roman"/>
          <w:sz w:val="24"/>
          <w:szCs w:val="24"/>
        </w:rPr>
        <w:t>osteoclastogenesis</w:t>
      </w:r>
      <w:proofErr w:type="spellEnd"/>
      <w:r w:rsidR="008F5494" w:rsidRPr="00543805">
        <w:rPr>
          <w:rFonts w:ascii="Times New Roman" w:hAnsi="Times New Roman" w:cs="Times New Roman"/>
          <w:sz w:val="24"/>
          <w:szCs w:val="24"/>
        </w:rPr>
        <w:t xml:space="preserve"> pathway,</w:t>
      </w:r>
      <w:r w:rsidR="00B54929" w:rsidRPr="00543805">
        <w:rPr>
          <w:rFonts w:ascii="Times New Roman" w:hAnsi="Times New Roman" w:cs="Times New Roman"/>
          <w:sz w:val="24"/>
          <w:szCs w:val="24"/>
        </w:rPr>
        <w:t xml:space="preserve"> </w:t>
      </w:r>
      <w:r w:rsidR="00FB0D75" w:rsidRPr="00543805">
        <w:rPr>
          <w:rFonts w:ascii="Times New Roman" w:hAnsi="Times New Roman" w:cs="Times New Roman"/>
          <w:sz w:val="24"/>
          <w:szCs w:val="24"/>
        </w:rPr>
        <w:t xml:space="preserve">where </w:t>
      </w:r>
      <w:r w:rsidR="00FB0D75">
        <w:rPr>
          <w:rFonts w:ascii="Times New Roman" w:hAnsi="Times New Roman" w:cs="Times New Roman"/>
          <w:sz w:val="24"/>
          <w:szCs w:val="24"/>
        </w:rPr>
        <w:t>the inverse was observed upon miR-148a inhibition</w:t>
      </w:r>
      <w:r w:rsidR="00781013">
        <w:rPr>
          <w:rFonts w:ascii="Times New Roman" w:hAnsi="Times New Roman" w:cs="Times New Roman"/>
          <w:sz w:val="24"/>
          <w:szCs w:val="24"/>
        </w:rPr>
        <w:t xml:space="preserve"> </w: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 </w:instrTex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EN.CITE.DATA </w:instrText>
      </w:r>
      <w:r w:rsidR="00781013">
        <w:rPr>
          <w:rFonts w:ascii="Times New Roman" w:hAnsi="Times New Roman" w:cs="Times New Roman"/>
          <w:sz w:val="24"/>
          <w:szCs w:val="24"/>
        </w:rPr>
      </w:r>
      <w:r w:rsidR="00781013">
        <w:rPr>
          <w:rFonts w:ascii="Times New Roman" w:hAnsi="Times New Roman" w:cs="Times New Roman"/>
          <w:sz w:val="24"/>
          <w:szCs w:val="24"/>
        </w:rPr>
        <w:fldChar w:fldCharType="end"/>
      </w:r>
      <w:r w:rsidR="00781013">
        <w:rPr>
          <w:rFonts w:ascii="Times New Roman" w:hAnsi="Times New Roman" w:cs="Times New Roman"/>
          <w:sz w:val="24"/>
          <w:szCs w:val="24"/>
        </w:rPr>
      </w:r>
      <w:r w:rsidR="00781013">
        <w:rPr>
          <w:rFonts w:ascii="Times New Roman" w:hAnsi="Times New Roman" w:cs="Times New Roman"/>
          <w:sz w:val="24"/>
          <w:szCs w:val="24"/>
        </w:rPr>
        <w:fldChar w:fldCharType="separate"/>
      </w:r>
      <w:r w:rsidR="00781013">
        <w:rPr>
          <w:rFonts w:ascii="Times New Roman" w:hAnsi="Times New Roman" w:cs="Times New Roman"/>
          <w:noProof/>
          <w:sz w:val="24"/>
          <w:szCs w:val="24"/>
        </w:rPr>
        <w:t>(</w:t>
      </w:r>
      <w:hyperlink w:anchor="_ENREF_3" w:tooltip="Cheng, 2013 #170" w:history="1">
        <w:r w:rsidR="00F62E14">
          <w:rPr>
            <w:rFonts w:ascii="Times New Roman" w:hAnsi="Times New Roman" w:cs="Times New Roman"/>
            <w:noProof/>
            <w:sz w:val="24"/>
            <w:szCs w:val="24"/>
          </w:rPr>
          <w:t>Cheng</w:t>
        </w:r>
        <w:r w:rsidR="00F62E14" w:rsidRPr="0078101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2013</w:t>
        </w:r>
      </w:hyperlink>
      <w:r w:rsidR="00781013">
        <w:rPr>
          <w:rFonts w:ascii="Times New Roman" w:hAnsi="Times New Roman" w:cs="Times New Roman"/>
          <w:noProof/>
          <w:sz w:val="24"/>
          <w:szCs w:val="24"/>
        </w:rPr>
        <w:t>)</w:t>
      </w:r>
      <w:r w:rsidR="00781013">
        <w:rPr>
          <w:rFonts w:ascii="Times New Roman" w:hAnsi="Times New Roman" w:cs="Times New Roman"/>
          <w:sz w:val="24"/>
          <w:szCs w:val="24"/>
        </w:rPr>
        <w:fldChar w:fldCharType="end"/>
      </w:r>
      <w:r w:rsidR="00FB0D75">
        <w:rPr>
          <w:rFonts w:ascii="Times New Roman" w:hAnsi="Times New Roman" w:cs="Times New Roman"/>
          <w:sz w:val="24"/>
          <w:szCs w:val="24"/>
        </w:rPr>
        <w:t xml:space="preserve">.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w:t>
      </w:r>
      <w:r w:rsidR="00FD76C4" w:rsidRPr="00543805">
        <w:rPr>
          <w:rFonts w:ascii="Times New Roman" w:hAnsi="Times New Roman" w:cs="Times New Roman"/>
          <w:sz w:val="24"/>
          <w:szCs w:val="24"/>
        </w:rPr>
        <w:t xml:space="preserve">increased bone </w:t>
      </w:r>
      <w:r w:rsidR="00543805" w:rsidRPr="00543805">
        <w:rPr>
          <w:rFonts w:ascii="Times New Roman" w:hAnsi="Times New Roman" w:cs="Times New Roman"/>
          <w:sz w:val="24"/>
          <w:szCs w:val="24"/>
        </w:rPr>
        <w:t xml:space="preserve">resorption </w:t>
      </w:r>
      <w:r w:rsidR="00543805" w:rsidRPr="00543805">
        <w:rPr>
          <w:rFonts w:ascii="Times New Roman" w:hAnsi="Times New Roman" w:cs="Times New Roman"/>
          <w:sz w:val="24"/>
          <w:szCs w:val="24"/>
        </w:rPr>
        <w:fldChar w:fldCharType="begin"/>
      </w:r>
      <w:r w:rsidR="00543805" w:rsidRPr="00543805">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00543805" w:rsidRPr="00543805">
        <w:rPr>
          <w:rFonts w:ascii="Times New Roman" w:hAnsi="Times New Roman" w:cs="Times New Roman"/>
          <w:sz w:val="24"/>
          <w:szCs w:val="24"/>
        </w:rPr>
        <w:fldChar w:fldCharType="separate"/>
      </w:r>
      <w:r w:rsidR="00543805" w:rsidRPr="00543805">
        <w:rPr>
          <w:rFonts w:ascii="Times New Roman" w:hAnsi="Times New Roman" w:cs="Times New Roman"/>
          <w:noProof/>
          <w:sz w:val="24"/>
          <w:szCs w:val="24"/>
        </w:rPr>
        <w:t>(</w:t>
      </w:r>
      <w:hyperlink w:anchor="_ENREF_18" w:tooltip="Luz, 2010 #185" w:history="1">
        <w:r w:rsidR="00F62E14" w:rsidRPr="00543805">
          <w:rPr>
            <w:rFonts w:ascii="Times New Roman" w:hAnsi="Times New Roman" w:cs="Times New Roman"/>
            <w:noProof/>
            <w:sz w:val="24"/>
            <w:szCs w:val="24"/>
          </w:rPr>
          <w:t>Luz and Aprikian 2010</w:t>
        </w:r>
      </w:hyperlink>
      <w:r w:rsidR="00543805" w:rsidRPr="00543805">
        <w:rPr>
          <w:rFonts w:ascii="Times New Roman" w:hAnsi="Times New Roman" w:cs="Times New Roman"/>
          <w:noProof/>
          <w:sz w:val="24"/>
          <w:szCs w:val="24"/>
        </w:rPr>
        <w:t>)</w:t>
      </w:r>
      <w:r w:rsidR="00543805" w:rsidRPr="00543805">
        <w:rPr>
          <w:rFonts w:ascii="Times New Roman" w:hAnsi="Times New Roman" w:cs="Times New Roman"/>
          <w:sz w:val="24"/>
          <w:szCs w:val="24"/>
        </w:rPr>
        <w:fldChar w:fldCharType="end"/>
      </w:r>
      <w:r w:rsidR="000F02B1" w:rsidRPr="00543805">
        <w:rPr>
          <w:rFonts w:ascii="Times New Roman" w:hAnsi="Times New Roman" w:cs="Times New Roman"/>
          <w:sz w:val="24"/>
          <w:szCs w:val="24"/>
        </w:rPr>
        <w:t xml:space="preserve">. Therefore </w:t>
      </w:r>
      <w:r w:rsidR="000F02B1">
        <w:rPr>
          <w:rFonts w:ascii="Times New Roman" w:hAnsi="Times New Roman" w:cs="Times New Roman"/>
          <w:sz w:val="24"/>
          <w:szCs w:val="24"/>
        </w:rPr>
        <w:t>the export of miR-148a from pro-metastatic prostate cancer cell line is co</w:t>
      </w:r>
      <w:r w:rsidR="00B54929">
        <w:rPr>
          <w:rFonts w:ascii="Times New Roman" w:hAnsi="Times New Roman" w:cs="Times New Roman"/>
          <w:sz w:val="24"/>
          <w:szCs w:val="24"/>
        </w:rPr>
        <w:t>nsistent with clinical findings and may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r w:rsidR="006E5436">
        <w:rPr>
          <w:rFonts w:ascii="Times New Roman" w:hAnsi="Times New Roman" w:cs="Times New Roman"/>
          <w:sz w:val="24"/>
          <w:szCs w:val="24"/>
        </w:rPr>
        <w:t>However u</w:t>
      </w:r>
      <w:r w:rsidR="00032294">
        <w:rPr>
          <w:rFonts w:ascii="Times New Roman" w:hAnsi="Times New Roman" w:cs="Times New Roman"/>
          <w:sz w:val="24"/>
          <w:szCs w:val="24"/>
        </w:rPr>
        <w:t xml:space="preserve">pon comparing miR-148a EV concentration to its cellular levels reveals that the addition of cavin-1 does not modify the </w:t>
      </w:r>
      <w:r w:rsidR="00FC1F9D">
        <w:rPr>
          <w:rFonts w:ascii="Times New Roman" w:hAnsi="Times New Roman" w:cs="Times New Roman"/>
          <w:sz w:val="24"/>
          <w:szCs w:val="24"/>
        </w:rPr>
        <w:t xml:space="preserve">cellular </w:t>
      </w:r>
      <w:r w:rsidR="00032294">
        <w:rPr>
          <w:rFonts w:ascii="Times New Roman" w:hAnsi="Times New Roman" w:cs="Times New Roman"/>
          <w:sz w:val="24"/>
          <w:szCs w:val="24"/>
        </w:rPr>
        <w:t>expression levels of miR-148a, on</w:t>
      </w:r>
      <w:r w:rsidR="002B4266">
        <w:rPr>
          <w:rFonts w:ascii="Times New Roman" w:hAnsi="Times New Roman" w:cs="Times New Roman"/>
          <w:sz w:val="24"/>
          <w:szCs w:val="24"/>
        </w:rPr>
        <w:t>ly the EV content</w:t>
      </w:r>
      <w:r w:rsidR="00032294">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over the EV exported miRNAs, truncated by cavin-1 expression.</w:t>
      </w:r>
      <w:r w:rsidR="00874CCF">
        <w:rPr>
          <w:rFonts w:ascii="Times New Roman" w:hAnsi="Times New Roman" w:cs="Times New Roman"/>
          <w:sz w:val="24"/>
          <w:szCs w:val="24"/>
        </w:rPr>
        <w:t xml:space="preserve"> Selective EV export of miRNAs had </w:t>
      </w:r>
      <w:r w:rsidR="0037505E">
        <w:rPr>
          <w:rFonts w:ascii="Times New Roman" w:hAnsi="Times New Roman" w:cs="Times New Roman"/>
          <w:sz w:val="24"/>
          <w:szCs w:val="24"/>
        </w:rPr>
        <w:t>been observed in other studies, some of which links these miRNAs with disease states particularly cancer metastasis</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 </w:instrText>
      </w:r>
      <w:r w:rsidR="00B834BE">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EN.CITE.DATA </w:instrText>
      </w:r>
      <w:r w:rsidR="00B834BE">
        <w:rPr>
          <w:rFonts w:ascii="Times New Roman" w:hAnsi="Times New Roman" w:cs="Times New Roman"/>
          <w:sz w:val="24"/>
          <w:szCs w:val="24"/>
        </w:rPr>
      </w:r>
      <w:r w:rsidR="00B834BE">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B834BE">
        <w:rPr>
          <w:rFonts w:ascii="Times New Roman" w:hAnsi="Times New Roman" w:cs="Times New Roman"/>
          <w:noProof/>
          <w:sz w:val="24"/>
          <w:szCs w:val="24"/>
        </w:rPr>
        <w:t>(</w:t>
      </w:r>
      <w:hyperlink w:anchor="_ENREF_24" w:tooltip="Palma, 2012 #186" w:history="1">
        <w:r w:rsidR="00F62E14">
          <w:rPr>
            <w:rFonts w:ascii="Times New Roman" w:hAnsi="Times New Roman" w:cs="Times New Roman"/>
            <w:noProof/>
            <w:sz w:val="24"/>
            <w:szCs w:val="24"/>
          </w:rPr>
          <w:t>Palma</w:t>
        </w:r>
        <w:r w:rsidR="00F62E14" w:rsidRPr="00B834BE">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B834BE">
        <w:rPr>
          <w:rFonts w:ascii="Times New Roman" w:hAnsi="Times New Roman" w:cs="Times New Roman"/>
          <w:noProof/>
          <w:sz w:val="24"/>
          <w:szCs w:val="24"/>
        </w:rPr>
        <w:t xml:space="preserve">; </w:t>
      </w:r>
      <w:hyperlink w:anchor="_ENREF_33" w:tooltip="Zhou, 2014 #187" w:history="1">
        <w:r w:rsidR="00F62E14">
          <w:rPr>
            <w:rFonts w:ascii="Times New Roman" w:hAnsi="Times New Roman" w:cs="Times New Roman"/>
            <w:noProof/>
            <w:sz w:val="24"/>
            <w:szCs w:val="24"/>
          </w:rPr>
          <w:t>Zhou</w:t>
        </w:r>
        <w:r w:rsidR="00F62E14" w:rsidRPr="00B834BE">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B834BE">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37505E">
        <w:rPr>
          <w:rFonts w:ascii="Times New Roman" w:hAnsi="Times New Roman" w:cs="Times New Roman"/>
          <w:sz w:val="24"/>
          <w:szCs w:val="24"/>
        </w:rPr>
        <w:t xml:space="preserve">. </w:t>
      </w:r>
      <w:r w:rsidR="00874CCF">
        <w:rPr>
          <w:rFonts w:ascii="Times New Roman" w:hAnsi="Times New Roman" w:cs="Times New Roman"/>
          <w:sz w:val="24"/>
          <w:szCs w:val="24"/>
        </w:rPr>
        <w:t xml:space="preserve">Yet, the mechanism that governs this selectively is mostly unknown. </w:t>
      </w:r>
    </w:p>
    <w:p w14:paraId="2C5345EE" w14:textId="502F8E7A" w:rsidR="008506A9" w:rsidRDefault="00B901B7" w:rsidP="00055C57">
      <w:pPr>
        <w:pStyle w:val="Default"/>
        <w:spacing w:line="480" w:lineRule="auto"/>
        <w:ind w:firstLine="142"/>
      </w:pPr>
      <w:r>
        <w:t xml:space="preserve"> </w:t>
      </w:r>
      <w:r w:rsidR="00880D74">
        <w:t xml:space="preserve"> </w:t>
      </w:r>
      <w:r w:rsidR="00055C57" w:rsidRPr="004173A8">
        <w:t xml:space="preserve">A recent clue was provided by </w:t>
      </w:r>
      <w:proofErr w:type="spellStart"/>
      <w:r w:rsidR="00055C57" w:rsidRPr="004173A8">
        <w:t>Villarroya-Beltri</w:t>
      </w:r>
      <w:proofErr w:type="spellEnd"/>
      <w:r w:rsidR="00055C57" w:rsidRPr="004173A8">
        <w:t xml:space="preserve"> et at, who reported that </w:t>
      </w:r>
      <w:proofErr w:type="spellStart"/>
      <w:r w:rsidR="00055C57" w:rsidRPr="004173A8">
        <w:t>sumoylated</w:t>
      </w:r>
      <w:proofErr w:type="spellEnd"/>
      <w:r w:rsidR="00055C57" w:rsidRPr="004173A8">
        <w:t xml:space="preserve"> ribonucleoprotein, hnRNPA2B1 mediate the transport and subcellular localization of particular miRNAs in T-lymphocytes</w:t>
      </w:r>
      <w:r w:rsidR="00B834BE">
        <w:t xml:space="preserve"> </w:t>
      </w:r>
      <w:r w:rsidR="00B834BE">
        <w:fldChar w:fldCharType="begin"/>
      </w:r>
      <w:r w:rsidR="00B834BE">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B834BE">
        <w:fldChar w:fldCharType="separate"/>
      </w:r>
      <w:r w:rsidR="00B834BE">
        <w:rPr>
          <w:noProof/>
        </w:rPr>
        <w:t>(</w:t>
      </w:r>
      <w:hyperlink w:anchor="_ENREF_30" w:tooltip="Villarroya-Beltri, 2013 #114" w:history="1">
        <w:r w:rsidR="00F62E14">
          <w:rPr>
            <w:noProof/>
          </w:rPr>
          <w:t>Villarroya-Beltri</w:t>
        </w:r>
        <w:r w:rsidR="00F62E14" w:rsidRPr="00B834BE">
          <w:rPr>
            <w:i/>
            <w:noProof/>
          </w:rPr>
          <w:t xml:space="preserve"> et al.</w:t>
        </w:r>
        <w:r w:rsidR="00F62E14">
          <w:rPr>
            <w:noProof/>
          </w:rPr>
          <w:t xml:space="preserve"> 2013</w:t>
        </w:r>
      </w:hyperlink>
      <w:r w:rsidR="00B834BE">
        <w:rPr>
          <w:noProof/>
        </w:rPr>
        <w:t>)</w:t>
      </w:r>
      <w:r w:rsidR="00B834BE">
        <w:fldChar w:fldCharType="end"/>
      </w:r>
      <w:r w:rsidR="00B834BE">
        <w:t>.</w:t>
      </w:r>
      <w:r w:rsidR="00055C57">
        <w:t xml:space="preserve">Typically, the </w:t>
      </w:r>
      <w:proofErr w:type="spellStart"/>
      <w:r w:rsidR="00055C57">
        <w:t>hnRNP</w:t>
      </w:r>
      <w:proofErr w:type="spellEnd"/>
      <w:r w:rsidR="00055C57">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w:t>
      </w:r>
      <w:r w:rsidR="005645E1">
        <w:t xml:space="preserve"> </w: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 </w:instrTex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EN.CITE.DATA </w:instrText>
      </w:r>
      <w:r w:rsidR="005645E1">
        <w:fldChar w:fldCharType="end"/>
      </w:r>
      <w:r w:rsidR="005645E1">
        <w:fldChar w:fldCharType="separate"/>
      </w:r>
      <w:r w:rsidR="005645E1">
        <w:rPr>
          <w:noProof/>
        </w:rPr>
        <w:t>(</w:t>
      </w:r>
      <w:hyperlink w:anchor="_ENREF_20" w:tooltip="Mili, 2001 #189" w:history="1">
        <w:r w:rsidR="00F62E14">
          <w:rPr>
            <w:noProof/>
          </w:rPr>
          <w:t>Mili</w:t>
        </w:r>
        <w:r w:rsidR="00F62E14" w:rsidRPr="005645E1">
          <w:rPr>
            <w:i/>
            <w:noProof/>
          </w:rPr>
          <w:t xml:space="preserve"> et al.</w:t>
        </w:r>
        <w:r w:rsidR="00F62E14">
          <w:rPr>
            <w:noProof/>
          </w:rPr>
          <w:t xml:space="preserve"> 2001</w:t>
        </w:r>
      </w:hyperlink>
      <w:r w:rsidR="005645E1">
        <w:rPr>
          <w:noProof/>
        </w:rPr>
        <w:t xml:space="preserve">; </w:t>
      </w:r>
      <w:hyperlink w:anchor="_ENREF_7" w:tooltip="Dreyfuss, 2002 #188" w:history="1">
        <w:r w:rsidR="00F62E14">
          <w:rPr>
            <w:noProof/>
          </w:rPr>
          <w:t>Dreyfuss</w:t>
        </w:r>
        <w:r w:rsidR="00F62E14" w:rsidRPr="005645E1">
          <w:rPr>
            <w:i/>
            <w:noProof/>
          </w:rPr>
          <w:t xml:space="preserve"> et al.</w:t>
        </w:r>
        <w:r w:rsidR="00F62E14">
          <w:rPr>
            <w:noProof/>
          </w:rPr>
          <w:t xml:space="preserve"> 2002</w:t>
        </w:r>
      </w:hyperlink>
      <w:r w:rsidR="005645E1">
        <w:rPr>
          <w:noProof/>
        </w:rPr>
        <w:t>)</w:t>
      </w:r>
      <w:r w:rsidR="005645E1">
        <w:fldChar w:fldCharType="end"/>
      </w:r>
      <w:r w:rsidR="00055C57">
        <w:t xml:space="preserve">. Further questions arise due to this finding, such as the use of other </w:t>
      </w:r>
      <w:proofErr w:type="spellStart"/>
      <w:r w:rsidR="00055C57">
        <w:t>hnRNP</w:t>
      </w:r>
      <w:proofErr w:type="spellEnd"/>
      <w:r w:rsidR="00055C57">
        <w:t xml:space="preserve"> proteins for </w:t>
      </w:r>
      <w:r w:rsidR="003A4FB3">
        <w:t>miRNA subcellular localization</w:t>
      </w:r>
      <w:r w:rsidR="00055C57">
        <w:t xml:space="preserve">, how </w:t>
      </w:r>
      <w:proofErr w:type="spellStart"/>
      <w:r w:rsidR="00055C57">
        <w:t>hnRNPs</w:t>
      </w:r>
      <w:proofErr w:type="spellEnd"/>
      <w:r w:rsidR="00055C57">
        <w:t xml:space="preserve"> are targeted to </w:t>
      </w:r>
      <w:r w:rsidR="00055C57">
        <w:lastRenderedPageBreak/>
        <w:t>the EVs and whether this protein family could be responsible for miRNA EV export in other cell types and</w:t>
      </w:r>
      <w:r w:rsidR="00734803">
        <w:t xml:space="preserve"> stimuli. </w:t>
      </w:r>
    </w:p>
    <w:p w14:paraId="569A5E75" w14:textId="7B26A57D" w:rsidR="00734803" w:rsidRPr="00486CF2" w:rsidRDefault="00734803" w:rsidP="00734803">
      <w:pPr>
        <w:pStyle w:val="Default"/>
        <w:spacing w:line="480" w:lineRule="auto"/>
        <w:ind w:firstLine="142"/>
        <w:rPr>
          <w:b/>
          <w:color w:val="auto"/>
        </w:rPr>
      </w:pPr>
      <w:r w:rsidRPr="00486CF2">
        <w:rPr>
          <w:b/>
          <w:color w:val="auto"/>
        </w:rPr>
        <w:t xml:space="preserve">Hypothesis and Aims: </w:t>
      </w:r>
    </w:p>
    <w:p w14:paraId="47CE1E28" w14:textId="65F532D6" w:rsidR="00734803" w:rsidRDefault="00734803" w:rsidP="00734803">
      <w:pPr>
        <w:pStyle w:val="Default"/>
        <w:spacing w:line="480" w:lineRule="auto"/>
        <w:ind w:firstLine="142"/>
      </w:pPr>
      <w:r w:rsidRPr="004173A8">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w:t>
      </w:r>
      <w:r w:rsidRPr="004A48AD">
        <w:rPr>
          <w:color w:val="FF0000"/>
        </w:rPr>
        <w:t>As cavin-1 cannot directly mediate the export of miRNAs as it is not present within EV</w:t>
      </w:r>
      <w:r>
        <w:t>s</w:t>
      </w:r>
      <w:r w:rsidRPr="004173A8">
        <w:t xml:space="preserve">, it is hypothesised that cavin-1 indirectly modulates miRNA escort proteins to </w:t>
      </w:r>
      <w:r>
        <w:t>the EVs</w:t>
      </w:r>
      <w:r w:rsidRPr="004173A8">
        <w:t>, thereby mediating selective miRNA export.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D92C78" w:rsidRDefault="00B4460E" w:rsidP="00B23259">
      <w:pPr>
        <w:spacing w:line="480" w:lineRule="auto"/>
        <w:rPr>
          <w:rFonts w:ascii="Times New Roman" w:hAnsi="Times New Roman" w:cs="Times New Roman"/>
          <w:sz w:val="24"/>
          <w:szCs w:val="24"/>
        </w:rPr>
      </w:pPr>
    </w:p>
    <w:p w14:paraId="74847C0E" w14:textId="77777777" w:rsidR="00461480" w:rsidRPr="00D92C78" w:rsidRDefault="00B95120" w:rsidP="00B23259">
      <w:pPr>
        <w:spacing w:line="480" w:lineRule="auto"/>
        <w:rPr>
          <w:rFonts w:ascii="Times New Roman" w:hAnsi="Times New Roman" w:cs="Times New Roman"/>
          <w:sz w:val="24"/>
          <w:szCs w:val="24"/>
        </w:rPr>
      </w:pPr>
      <w:r w:rsidRPr="00D92C78">
        <w:rPr>
          <w:rFonts w:ascii="Times New Roman" w:hAnsi="Times New Roman" w:cs="Times New Roman"/>
          <w:sz w:val="24"/>
          <w:szCs w:val="24"/>
        </w:rPr>
        <w:t xml:space="preserve"> </w:t>
      </w:r>
    </w:p>
    <w:p w14:paraId="2D756A59" w14:textId="6CD2333A" w:rsidR="00E05117" w:rsidRPr="00D92C78" w:rsidRDefault="00461480" w:rsidP="008A65F4">
      <w:pPr>
        <w:rPr>
          <w:rFonts w:ascii="Times New Roman" w:hAnsi="Times New Roman" w:cs="Times New Roman"/>
          <w:sz w:val="24"/>
          <w:szCs w:val="24"/>
        </w:rPr>
      </w:pPr>
      <w:r w:rsidRPr="00D92C78">
        <w:rPr>
          <w:rFonts w:ascii="Times New Roman" w:hAnsi="Times New Roman" w:cs="Times New Roman"/>
          <w:sz w:val="24"/>
          <w:szCs w:val="24"/>
        </w:rPr>
        <w:t xml:space="preserve">   </w:t>
      </w:r>
      <w:r w:rsidR="00287666" w:rsidRPr="00D92C78">
        <w:rPr>
          <w:rFonts w:ascii="Times New Roman" w:hAnsi="Times New Roman" w:cs="Times New Roman"/>
          <w:sz w:val="24"/>
          <w:szCs w:val="24"/>
        </w:rPr>
        <w:t xml:space="preserve"> </w:t>
      </w:r>
      <w:r w:rsidR="00A27B39" w:rsidRPr="00D92C78">
        <w:rPr>
          <w:rFonts w:ascii="Times New Roman" w:hAnsi="Times New Roman" w:cs="Times New Roman"/>
          <w:sz w:val="24"/>
          <w:szCs w:val="24"/>
        </w:rPr>
        <w:t xml:space="preserve">   </w:t>
      </w:r>
      <w:r w:rsidR="00D92C78" w:rsidRPr="00D92C78">
        <w:rPr>
          <w:rFonts w:ascii="Times New Roman" w:hAnsi="Times New Roman" w:cs="Times New Roman"/>
          <w:sz w:val="24"/>
          <w:szCs w:val="24"/>
        </w:rPr>
        <w:t>References:</w:t>
      </w:r>
    </w:p>
    <w:p w14:paraId="4CA7B97A" w14:textId="77777777" w:rsidR="00E05117" w:rsidRPr="00D92C78" w:rsidRDefault="00E05117" w:rsidP="008A65F4">
      <w:pPr>
        <w:rPr>
          <w:rFonts w:ascii="Times New Roman" w:hAnsi="Times New Roman" w:cs="Times New Roman"/>
          <w:sz w:val="24"/>
          <w:szCs w:val="24"/>
        </w:rPr>
      </w:pPr>
    </w:p>
    <w:p w14:paraId="683A4C19" w14:textId="77777777" w:rsidR="00F62E14" w:rsidRPr="00F62E14" w:rsidRDefault="00E05117" w:rsidP="00F62E14">
      <w:pPr>
        <w:pStyle w:val="EndNoteBibliography"/>
        <w:ind w:firstLine="0"/>
      </w:pPr>
      <w:r w:rsidRPr="00D92C78">
        <w:rPr>
          <w:rFonts w:ascii="Times New Roman" w:hAnsi="Times New Roman" w:cs="Times New Roman"/>
          <w:sz w:val="24"/>
          <w:szCs w:val="24"/>
        </w:rPr>
        <w:fldChar w:fldCharType="begin"/>
      </w:r>
      <w:r w:rsidRPr="00D92C78">
        <w:rPr>
          <w:rFonts w:ascii="Times New Roman" w:hAnsi="Times New Roman" w:cs="Times New Roman"/>
          <w:sz w:val="24"/>
          <w:szCs w:val="24"/>
        </w:rPr>
        <w:instrText xml:space="preserve"> ADDIN EN.REFLIST </w:instrText>
      </w:r>
      <w:r w:rsidRPr="00D92C78">
        <w:rPr>
          <w:rFonts w:ascii="Times New Roman" w:hAnsi="Times New Roman" w:cs="Times New Roman"/>
          <w:sz w:val="24"/>
          <w:szCs w:val="24"/>
        </w:rPr>
        <w:fldChar w:fldCharType="separate"/>
      </w:r>
      <w:bookmarkStart w:id="5" w:name="_ENREF_1"/>
      <w:r w:rsidR="00F62E14" w:rsidRPr="00F62E14">
        <w:t xml:space="preserve">Bubendorf, L., A. Schöpfer, U. Wagner, G. Sauter, H. Moch, N. Willi, T. C. Gasser and M. J. Mihatsch (2000). "Metastatic patterns of prostate cancer: An autopsy study of 1,589 patients." </w:t>
      </w:r>
      <w:r w:rsidR="00F62E14" w:rsidRPr="00F62E14">
        <w:rPr>
          <w:u w:val="single"/>
        </w:rPr>
        <w:t>Human Pathology</w:t>
      </w:r>
      <w:r w:rsidR="00F62E14" w:rsidRPr="00F62E14">
        <w:t xml:space="preserve"> </w:t>
      </w:r>
      <w:r w:rsidR="00F62E14" w:rsidRPr="00F62E14">
        <w:rPr>
          <w:b/>
        </w:rPr>
        <w:t>31</w:t>
      </w:r>
      <w:r w:rsidR="00F62E14" w:rsidRPr="00F62E14">
        <w:t>(5): 578-583.</w:t>
      </w:r>
    </w:p>
    <w:bookmarkEnd w:id="5"/>
    <w:p w14:paraId="7D8052AF" w14:textId="77777777" w:rsidR="00F62E14" w:rsidRPr="00F62E14" w:rsidRDefault="00F62E14" w:rsidP="00F62E14">
      <w:pPr>
        <w:pStyle w:val="EndNoteBibliography"/>
        <w:spacing w:after="0"/>
        <w:ind w:firstLine="0"/>
      </w:pPr>
    </w:p>
    <w:p w14:paraId="697D3699" w14:textId="77777777" w:rsidR="00F62E14" w:rsidRPr="00F62E14" w:rsidRDefault="00F62E14" w:rsidP="00F62E14">
      <w:pPr>
        <w:pStyle w:val="EndNoteBibliography"/>
        <w:ind w:firstLine="0"/>
      </w:pPr>
      <w:bookmarkStart w:id="6" w:name="_ENREF_2"/>
      <w:r w:rsidRPr="00F62E14">
        <w:t xml:space="preserve">Chatterjee, M., E. Ben-Josef, D. G. Thomas, M. A. Morgan, M. M. Zalupski, G. Khan, C. Andrew Robinson, K. A. Griffith, C.-S. Chen, T. Ludwig, T. Bekaii-Saab, A. Chakravarti and T. M. Williams (2015). "Caveolin-1 is Associated with Tumor Progression and Confers a Multi-Modality Resistance Phenotype in Pancreatic Cancer." </w:t>
      </w:r>
      <w:r w:rsidRPr="00F62E14">
        <w:rPr>
          <w:u w:val="single"/>
        </w:rPr>
        <w:t>Scientific Reports</w:t>
      </w:r>
      <w:r w:rsidRPr="00F62E14">
        <w:t xml:space="preserve"> </w:t>
      </w:r>
      <w:r w:rsidRPr="00F62E14">
        <w:rPr>
          <w:b/>
        </w:rPr>
        <w:t>5</w:t>
      </w:r>
      <w:r w:rsidRPr="00F62E14">
        <w:t>: 10867.</w:t>
      </w:r>
    </w:p>
    <w:bookmarkEnd w:id="6"/>
    <w:p w14:paraId="5806ED0C" w14:textId="77777777" w:rsidR="00F62E14" w:rsidRPr="00F62E14" w:rsidRDefault="00F62E14" w:rsidP="00F62E14">
      <w:pPr>
        <w:pStyle w:val="EndNoteBibliography"/>
        <w:spacing w:after="0"/>
        <w:ind w:firstLine="0"/>
      </w:pPr>
    </w:p>
    <w:p w14:paraId="22E95409" w14:textId="77777777" w:rsidR="00F62E14" w:rsidRPr="00F62E14" w:rsidRDefault="00F62E14" w:rsidP="00F62E14">
      <w:pPr>
        <w:pStyle w:val="EndNoteBibliography"/>
        <w:ind w:firstLine="0"/>
      </w:pPr>
      <w:bookmarkStart w:id="7" w:name="_ENREF_3"/>
      <w:r w:rsidRPr="00F62E14">
        <w:lastRenderedPageBreak/>
        <w:t xml:space="preserve">Cheng, P., C. Chen, H. B. He, R. Hu, H. D. Zhou, H. Xie, W. Zhu, R. C. Dai, X. P. Wu, E. Y. Liao and X. H. Luo (2013). "miR-148a regulates osteoclastogenesis by targeting V-maf musculoaponeurotic fibrosarcoma oncogene homolog B." </w:t>
      </w:r>
      <w:r w:rsidRPr="00F62E14">
        <w:rPr>
          <w:u w:val="single"/>
        </w:rPr>
        <w:t>J Bone Miner Res</w:t>
      </w:r>
      <w:r w:rsidRPr="00F62E14">
        <w:t xml:space="preserve"> </w:t>
      </w:r>
      <w:r w:rsidRPr="00F62E14">
        <w:rPr>
          <w:b/>
        </w:rPr>
        <w:t>28</w:t>
      </w:r>
      <w:r w:rsidRPr="00F62E14">
        <w:t>(5): 1180-1190.</w:t>
      </w:r>
    </w:p>
    <w:bookmarkEnd w:id="7"/>
    <w:p w14:paraId="607E9BD0" w14:textId="77777777" w:rsidR="00F62E14" w:rsidRPr="00F62E14" w:rsidRDefault="00F62E14" w:rsidP="00F62E14">
      <w:pPr>
        <w:pStyle w:val="EndNoteBibliography"/>
        <w:spacing w:after="0"/>
        <w:ind w:firstLine="0"/>
      </w:pPr>
    </w:p>
    <w:p w14:paraId="7E3EDF07" w14:textId="77777777" w:rsidR="00F62E14" w:rsidRPr="00F62E14" w:rsidRDefault="00F62E14" w:rsidP="00F62E14">
      <w:pPr>
        <w:pStyle w:val="EndNoteBibliography"/>
        <w:ind w:firstLine="0"/>
      </w:pPr>
      <w:bookmarkStart w:id="8" w:name="_ENREF_4"/>
      <w:r w:rsidRPr="00F62E14">
        <w:t xml:space="preserve">Costa-Silva, B., N. M. Aiello, A. J. Ocean, S. Singh, H. Zhang, B. K. Thakur, A. Becker, A. Hoshino, M. T. Mark, H. Molina, J. Xiang, T. Zhang, T.-M. Theilen, G. Garcia-Santos, C. Williams, Y. Ararso, Y. Huang, G. Rodrigues, T.-L. Shen, K. J. Labori, I. M. B. Lothe, E. H. Kure, J. Hernandez, A. Doussot, S. H. Ebbesen, P. M. Grandgenett, M. A. Hollingsworth, M. Jain, K. Mallya, S. K. Batra, W. R. Jarnagin, R. E. Schwartz, I. Matei, H. Peinado, B. Z. Stanger, J. Bromberg and D. Lyden (2015). "Pancreatic cancer exosomes initiate pre-metastatic niche formation in the liver." </w:t>
      </w:r>
      <w:r w:rsidRPr="00F62E14">
        <w:rPr>
          <w:u w:val="single"/>
        </w:rPr>
        <w:t>Nat Cell Biol</w:t>
      </w:r>
      <w:r w:rsidRPr="00F62E14">
        <w:t xml:space="preserve"> </w:t>
      </w:r>
      <w:r w:rsidRPr="00F62E14">
        <w:rPr>
          <w:b/>
        </w:rPr>
        <w:t>17</w:t>
      </w:r>
      <w:r w:rsidRPr="00F62E14">
        <w:t>(6): 816-826.</w:t>
      </w:r>
    </w:p>
    <w:bookmarkEnd w:id="8"/>
    <w:p w14:paraId="6F2BAE38" w14:textId="77777777" w:rsidR="00F62E14" w:rsidRPr="00F62E14" w:rsidRDefault="00F62E14" w:rsidP="00F62E14">
      <w:pPr>
        <w:pStyle w:val="EndNoteBibliography"/>
        <w:spacing w:after="0"/>
        <w:ind w:firstLine="0"/>
      </w:pPr>
    </w:p>
    <w:p w14:paraId="5990B420" w14:textId="77777777" w:rsidR="00F62E14" w:rsidRPr="00F62E14" w:rsidRDefault="00F62E14" w:rsidP="00F62E14">
      <w:pPr>
        <w:pStyle w:val="EndNoteBibliography"/>
        <w:ind w:firstLine="0"/>
      </w:pPr>
      <w:bookmarkStart w:id="9" w:name="_ENREF_5"/>
      <w:r w:rsidRPr="00F62E14">
        <w:t xml:space="preserve">Djuranovic, S., A. Nahvi and R. Green (2012). "miRNA-Mediated Gene Silencing by Translational Repression Followed by mRNA Deadenylation and Decay." </w:t>
      </w:r>
      <w:r w:rsidRPr="00F62E14">
        <w:rPr>
          <w:u w:val="single"/>
        </w:rPr>
        <w:t>Science</w:t>
      </w:r>
      <w:r w:rsidRPr="00F62E14">
        <w:t xml:space="preserve"> </w:t>
      </w:r>
      <w:r w:rsidRPr="00F62E14">
        <w:rPr>
          <w:b/>
        </w:rPr>
        <w:t>336</w:t>
      </w:r>
      <w:r w:rsidRPr="00F62E14">
        <w:t>(6078): 237-240.</w:t>
      </w:r>
    </w:p>
    <w:bookmarkEnd w:id="9"/>
    <w:p w14:paraId="061EC286" w14:textId="77777777" w:rsidR="00F62E14" w:rsidRPr="00F62E14" w:rsidRDefault="00F62E14" w:rsidP="00F62E14">
      <w:pPr>
        <w:pStyle w:val="EndNoteBibliography"/>
        <w:spacing w:after="0"/>
        <w:ind w:firstLine="0"/>
      </w:pPr>
    </w:p>
    <w:p w14:paraId="35E31FEE" w14:textId="77777777" w:rsidR="00F62E14" w:rsidRPr="00F62E14" w:rsidRDefault="00F62E14" w:rsidP="00F62E14">
      <w:pPr>
        <w:pStyle w:val="EndNoteBibliography"/>
        <w:ind w:firstLine="0"/>
      </w:pPr>
      <w:bookmarkStart w:id="10" w:name="_ENREF_6"/>
      <w:r w:rsidRPr="00F62E14">
        <w:t xml:space="preserve">Dovrat, S., M. Caspi, A. Zilberberg, L. Lahav, A. Firsow, H. Gur and R. Rosin-Arbesfeld (2014). "14-3-3 and β-catenin are secreted on extracellular vesicles to activate the oncogenic Wnt pathway." </w:t>
      </w:r>
      <w:r w:rsidRPr="00F62E14">
        <w:rPr>
          <w:u w:val="single"/>
        </w:rPr>
        <w:t>Molecular Oncology</w:t>
      </w:r>
      <w:r w:rsidRPr="00F62E14">
        <w:t xml:space="preserve"> </w:t>
      </w:r>
      <w:r w:rsidRPr="00F62E14">
        <w:rPr>
          <w:b/>
        </w:rPr>
        <w:t>8</w:t>
      </w:r>
      <w:r w:rsidRPr="00F62E14">
        <w:t>(5): 894-911.</w:t>
      </w:r>
    </w:p>
    <w:bookmarkEnd w:id="10"/>
    <w:p w14:paraId="4C2AD64B" w14:textId="77777777" w:rsidR="00F62E14" w:rsidRPr="00F62E14" w:rsidRDefault="00F62E14" w:rsidP="00F62E14">
      <w:pPr>
        <w:pStyle w:val="EndNoteBibliography"/>
        <w:spacing w:after="0"/>
        <w:ind w:firstLine="0"/>
      </w:pPr>
    </w:p>
    <w:p w14:paraId="1DC65F92" w14:textId="77777777" w:rsidR="00F62E14" w:rsidRPr="00F62E14" w:rsidRDefault="00F62E14" w:rsidP="00F62E14">
      <w:pPr>
        <w:pStyle w:val="EndNoteBibliography"/>
        <w:ind w:firstLine="0"/>
      </w:pPr>
      <w:bookmarkStart w:id="11" w:name="_ENREF_7"/>
      <w:r w:rsidRPr="00F62E14">
        <w:t xml:space="preserve">Dreyfuss, G., V. N. Kim and N. Kataoka (2002). "Messenger-RNA-binding proteins and the messages they carry." </w:t>
      </w:r>
      <w:r w:rsidRPr="00F62E14">
        <w:rPr>
          <w:u w:val="single"/>
        </w:rPr>
        <w:t>Nat Rev Mol Cell Biol</w:t>
      </w:r>
      <w:r w:rsidRPr="00F62E14">
        <w:t xml:space="preserve"> </w:t>
      </w:r>
      <w:r w:rsidRPr="00F62E14">
        <w:rPr>
          <w:b/>
        </w:rPr>
        <w:t>3</w:t>
      </w:r>
      <w:r w:rsidRPr="00F62E14">
        <w:t>(3): 195-205.</w:t>
      </w:r>
    </w:p>
    <w:bookmarkEnd w:id="11"/>
    <w:p w14:paraId="52CD639C" w14:textId="77777777" w:rsidR="00F62E14" w:rsidRPr="00F62E14" w:rsidRDefault="00F62E14" w:rsidP="00F62E14">
      <w:pPr>
        <w:pStyle w:val="EndNoteBibliography"/>
        <w:spacing w:after="0"/>
        <w:ind w:firstLine="0"/>
      </w:pPr>
    </w:p>
    <w:p w14:paraId="04597651" w14:textId="77777777" w:rsidR="00F62E14" w:rsidRPr="00F62E14" w:rsidRDefault="00F62E14" w:rsidP="00F62E14">
      <w:pPr>
        <w:pStyle w:val="EndNoteBibliography"/>
        <w:ind w:firstLine="0"/>
      </w:pPr>
      <w:bookmarkStart w:id="12" w:name="_ENREF_8"/>
      <w:r w:rsidRPr="00F62E14">
        <w:t xml:space="preserve">Friedman, R. C., K. K. Farh, C. B. Burge and D. P. Bartel (2009). "Most mammalian mRNAs are conserved targets of microRNAs." </w:t>
      </w:r>
      <w:r w:rsidRPr="00F62E14">
        <w:rPr>
          <w:u w:val="single"/>
        </w:rPr>
        <w:t>Genome Res</w:t>
      </w:r>
      <w:r w:rsidRPr="00F62E14">
        <w:t xml:space="preserve"> </w:t>
      </w:r>
      <w:r w:rsidRPr="00F62E14">
        <w:rPr>
          <w:b/>
        </w:rPr>
        <w:t>19</w:t>
      </w:r>
      <w:r w:rsidRPr="00F62E14">
        <w:t>(1): 92-105.</w:t>
      </w:r>
    </w:p>
    <w:bookmarkEnd w:id="12"/>
    <w:p w14:paraId="23C20EAD" w14:textId="77777777" w:rsidR="00F62E14" w:rsidRPr="00F62E14" w:rsidRDefault="00F62E14" w:rsidP="00F62E14">
      <w:pPr>
        <w:pStyle w:val="EndNoteBibliography"/>
        <w:spacing w:after="0"/>
        <w:ind w:firstLine="0"/>
      </w:pPr>
    </w:p>
    <w:p w14:paraId="1FCCE850" w14:textId="77777777" w:rsidR="00F62E14" w:rsidRPr="00F62E14" w:rsidRDefault="00F62E14" w:rsidP="00F62E14">
      <w:pPr>
        <w:pStyle w:val="EndNoteBibliography"/>
        <w:ind w:firstLine="0"/>
      </w:pPr>
      <w:bookmarkStart w:id="13" w:name="_ENREF_9"/>
      <w:r w:rsidRPr="00F62E14">
        <w:t xml:space="preserve">Grande-García, A., A. Echarri, J. de Rooij, N. B. Alderson, C. M. Waterman-Storer, J. M. Valdivielso and M. A. del Pozo (2007). "Caveolin-1 regulates cell polarization and directional migration through Src kinase and Rho GTPases." </w:t>
      </w:r>
      <w:r w:rsidRPr="00F62E14">
        <w:rPr>
          <w:u w:val="single"/>
        </w:rPr>
        <w:t>The Journal of Cell Biology</w:t>
      </w:r>
      <w:r w:rsidRPr="00F62E14">
        <w:t xml:space="preserve"> </w:t>
      </w:r>
      <w:r w:rsidRPr="00F62E14">
        <w:rPr>
          <w:b/>
        </w:rPr>
        <w:t>177</w:t>
      </w:r>
      <w:r w:rsidRPr="00F62E14">
        <w:t>(4): 683-694.</w:t>
      </w:r>
    </w:p>
    <w:bookmarkEnd w:id="13"/>
    <w:p w14:paraId="75B3FFAC" w14:textId="77777777" w:rsidR="00F62E14" w:rsidRPr="00F62E14" w:rsidRDefault="00F62E14" w:rsidP="00F62E14">
      <w:pPr>
        <w:pStyle w:val="EndNoteBibliography"/>
        <w:spacing w:after="0"/>
        <w:ind w:firstLine="0"/>
      </w:pPr>
    </w:p>
    <w:p w14:paraId="0BE039A8" w14:textId="77777777" w:rsidR="00F62E14" w:rsidRPr="00F62E14" w:rsidRDefault="00F62E14" w:rsidP="00F62E14">
      <w:pPr>
        <w:pStyle w:val="EndNoteBibliography"/>
        <w:ind w:firstLine="0"/>
      </w:pPr>
      <w:bookmarkStart w:id="14" w:name="_ENREF_10"/>
      <w:r w:rsidRPr="00F62E14">
        <w:t xml:space="preserve">Gumulec, J., J. Sochor, M. Hlavna, M. Sztalmachova, S. Krizkova, P. Babula, R. Hrabec, A. Rovny, V. Adam, T. Eckschlager, R. Kizek and M. Masarik (2012). "Caveolin-1 as a potential high-risk prostate cancer biomarker." </w:t>
      </w:r>
      <w:r w:rsidRPr="00F62E14">
        <w:rPr>
          <w:u w:val="single"/>
        </w:rPr>
        <w:t>Oncology Reports</w:t>
      </w:r>
      <w:r w:rsidRPr="00F62E14">
        <w:t xml:space="preserve"> </w:t>
      </w:r>
      <w:r w:rsidRPr="00F62E14">
        <w:rPr>
          <w:b/>
        </w:rPr>
        <w:t>27</w:t>
      </w:r>
      <w:r w:rsidRPr="00F62E14">
        <w:t>(3): 831-841.</w:t>
      </w:r>
    </w:p>
    <w:bookmarkEnd w:id="14"/>
    <w:p w14:paraId="7E2FCC45" w14:textId="77777777" w:rsidR="00F62E14" w:rsidRPr="00F62E14" w:rsidRDefault="00F62E14" w:rsidP="00F62E14">
      <w:pPr>
        <w:pStyle w:val="EndNoteBibliography"/>
        <w:spacing w:after="0"/>
        <w:ind w:firstLine="0"/>
      </w:pPr>
    </w:p>
    <w:p w14:paraId="7AF52BEE" w14:textId="77777777" w:rsidR="00F62E14" w:rsidRPr="00F62E14" w:rsidRDefault="00F62E14" w:rsidP="00F62E14">
      <w:pPr>
        <w:pStyle w:val="EndNoteBibliography"/>
        <w:ind w:firstLine="0"/>
      </w:pPr>
      <w:bookmarkStart w:id="15" w:name="_ENREF_11"/>
      <w:r w:rsidRPr="00F62E14">
        <w:t xml:space="preserve">Ha, M. and V. N. Kim (2014). "Regulation of microRNA biogenesis." </w:t>
      </w:r>
      <w:r w:rsidRPr="00F62E14">
        <w:rPr>
          <w:u w:val="single"/>
        </w:rPr>
        <w:t>Nat Rev Mol Cell Biol</w:t>
      </w:r>
      <w:r w:rsidRPr="00F62E14">
        <w:t xml:space="preserve"> </w:t>
      </w:r>
      <w:r w:rsidRPr="00F62E14">
        <w:rPr>
          <w:b/>
        </w:rPr>
        <w:t>15</w:t>
      </w:r>
      <w:r w:rsidRPr="00F62E14">
        <w:t>(8): 509-524.</w:t>
      </w:r>
    </w:p>
    <w:bookmarkEnd w:id="15"/>
    <w:p w14:paraId="550033EC" w14:textId="77777777" w:rsidR="00F62E14" w:rsidRPr="00F62E14" w:rsidRDefault="00F62E14" w:rsidP="00F62E14">
      <w:pPr>
        <w:pStyle w:val="EndNoteBibliography"/>
        <w:spacing w:after="0"/>
        <w:ind w:firstLine="0"/>
      </w:pPr>
    </w:p>
    <w:p w14:paraId="69902186" w14:textId="77777777" w:rsidR="00F62E14" w:rsidRPr="00F62E14" w:rsidRDefault="00F62E14" w:rsidP="00F62E14">
      <w:pPr>
        <w:pStyle w:val="EndNoteBibliography"/>
        <w:ind w:firstLine="0"/>
      </w:pPr>
      <w:bookmarkStart w:id="16" w:name="_ENREF_12"/>
      <w:r w:rsidRPr="00F62E14">
        <w:t xml:space="preserve">Hayashi, T., T. Ichimura, N. Yaegashi, T. Shiozawa and I. Konishi (2015). "Expression of CAVEOLIN 1 in uterine mesenchymal tumors: No relationship between malignancy and CAVEOLIN 1 expression." </w:t>
      </w:r>
      <w:r w:rsidRPr="00F62E14">
        <w:rPr>
          <w:u w:val="single"/>
        </w:rPr>
        <w:t>Biochemical and Biophysical Research Communications</w:t>
      </w:r>
      <w:r w:rsidRPr="00F62E14">
        <w:t xml:space="preserve"> </w:t>
      </w:r>
      <w:r w:rsidRPr="00F62E14">
        <w:rPr>
          <w:b/>
        </w:rPr>
        <w:t>463</w:t>
      </w:r>
      <w:r w:rsidRPr="00F62E14">
        <w:t>(4): 982-987.</w:t>
      </w:r>
    </w:p>
    <w:bookmarkEnd w:id="16"/>
    <w:p w14:paraId="43C115AD" w14:textId="77777777" w:rsidR="00F62E14" w:rsidRPr="00F62E14" w:rsidRDefault="00F62E14" w:rsidP="00F62E14">
      <w:pPr>
        <w:pStyle w:val="EndNoteBibliography"/>
        <w:spacing w:after="0"/>
        <w:ind w:firstLine="0"/>
      </w:pPr>
    </w:p>
    <w:p w14:paraId="6F35ABD8" w14:textId="77777777" w:rsidR="00F62E14" w:rsidRPr="00F62E14" w:rsidRDefault="00F62E14" w:rsidP="00F62E14">
      <w:pPr>
        <w:pStyle w:val="EndNoteBibliography"/>
        <w:ind w:firstLine="0"/>
      </w:pPr>
      <w:bookmarkStart w:id="17" w:name="_ENREF_13"/>
      <w:r w:rsidRPr="00F62E14">
        <w:t xml:space="preserve">Hedlund, M., O. Nagaeva, D. Kargl, V. Baranov and L. Mincheva-Nilsson (2011). "Thermal- and Oxidative Stress Causes Enhanced Release of NKG2D Ligand-Bearing Immunosuppressive Exosomes in Leukemia/Lymphoma T and B Cells." </w:t>
      </w:r>
      <w:r w:rsidRPr="00F62E14">
        <w:rPr>
          <w:u w:val="single"/>
        </w:rPr>
        <w:t>PLoS ONE</w:t>
      </w:r>
      <w:r w:rsidRPr="00F62E14">
        <w:t xml:space="preserve"> </w:t>
      </w:r>
      <w:r w:rsidRPr="00F62E14">
        <w:rPr>
          <w:b/>
        </w:rPr>
        <w:t>6</w:t>
      </w:r>
      <w:r w:rsidRPr="00F62E14">
        <w:t>(2): e16899.</w:t>
      </w:r>
    </w:p>
    <w:bookmarkEnd w:id="17"/>
    <w:p w14:paraId="3BC72381" w14:textId="77777777" w:rsidR="00F62E14" w:rsidRPr="00F62E14" w:rsidRDefault="00F62E14" w:rsidP="00F62E14">
      <w:pPr>
        <w:pStyle w:val="EndNoteBibliography"/>
        <w:spacing w:after="0"/>
        <w:ind w:firstLine="0"/>
      </w:pPr>
    </w:p>
    <w:p w14:paraId="6CBC2AC5" w14:textId="77777777" w:rsidR="00F62E14" w:rsidRPr="00F62E14" w:rsidRDefault="00F62E14" w:rsidP="00F62E14">
      <w:pPr>
        <w:pStyle w:val="EndNoteBibliography"/>
        <w:ind w:firstLine="0"/>
      </w:pPr>
      <w:bookmarkStart w:id="18" w:name="_ENREF_14"/>
      <w:r w:rsidRPr="00F62E14">
        <w:lastRenderedPageBreak/>
        <w:t xml:space="preserve">Hill, M. M., M. Bastiani, R. Luetterforst, M. Kirkham, A. Kirkham, S. J. Nixon, P. Walser, D. Abankwa, V. M. J. Oorschot, S. Martin, J. F. Hancock and R. G. Parton (2008). "PTRF-Cavin, a Conserved Cytoplasmic Protein Required for Caveola Formation and Function." </w:t>
      </w:r>
      <w:r w:rsidRPr="00F62E14">
        <w:rPr>
          <w:u w:val="single"/>
        </w:rPr>
        <w:t>Cell</w:t>
      </w:r>
      <w:r w:rsidRPr="00F62E14">
        <w:t xml:space="preserve"> </w:t>
      </w:r>
      <w:r w:rsidRPr="00F62E14">
        <w:rPr>
          <w:b/>
        </w:rPr>
        <w:t>132</w:t>
      </w:r>
      <w:r w:rsidRPr="00F62E14">
        <w:t>(1): 113-124.</w:t>
      </w:r>
    </w:p>
    <w:bookmarkEnd w:id="18"/>
    <w:p w14:paraId="656DD81C" w14:textId="77777777" w:rsidR="00F62E14" w:rsidRPr="00F62E14" w:rsidRDefault="00F62E14" w:rsidP="00F62E14">
      <w:pPr>
        <w:pStyle w:val="EndNoteBibliography"/>
        <w:spacing w:after="0"/>
        <w:ind w:firstLine="0"/>
      </w:pPr>
    </w:p>
    <w:p w14:paraId="1FF7003C" w14:textId="77777777" w:rsidR="00F62E14" w:rsidRPr="00F62E14" w:rsidRDefault="00F62E14" w:rsidP="00F62E14">
      <w:pPr>
        <w:pStyle w:val="EndNoteBibliography"/>
        <w:ind w:firstLine="0"/>
      </w:pPr>
      <w:bookmarkStart w:id="19" w:name="_ENREF_15"/>
      <w:r w:rsidRPr="00F62E14">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F62E14">
        <w:rPr>
          <w:u w:val="single"/>
        </w:rPr>
        <w:t>J Extracell Vesicles</w:t>
      </w:r>
      <w:r w:rsidRPr="00F62E14">
        <w:t xml:space="preserve"> </w:t>
      </w:r>
      <w:r w:rsidRPr="00F62E14">
        <w:rPr>
          <w:b/>
        </w:rPr>
        <w:t>3</w:t>
      </w:r>
      <w:r w:rsidRPr="00F62E14">
        <w:t>.</w:t>
      </w:r>
    </w:p>
    <w:bookmarkEnd w:id="19"/>
    <w:p w14:paraId="1E169D23" w14:textId="77777777" w:rsidR="00F62E14" w:rsidRPr="00F62E14" w:rsidRDefault="00F62E14" w:rsidP="00F62E14">
      <w:pPr>
        <w:pStyle w:val="EndNoteBibliography"/>
        <w:spacing w:after="0"/>
        <w:ind w:firstLine="0"/>
      </w:pPr>
    </w:p>
    <w:p w14:paraId="19C177E6" w14:textId="77777777" w:rsidR="00F62E14" w:rsidRPr="00F62E14" w:rsidRDefault="00F62E14" w:rsidP="00F62E14">
      <w:pPr>
        <w:pStyle w:val="EndNoteBibliography"/>
        <w:ind w:firstLine="0"/>
      </w:pPr>
      <w:bookmarkStart w:id="20" w:name="_ENREF_16"/>
      <w:r w:rsidRPr="00F62E14">
        <w:t xml:space="preserve">Kharmate, G., E. Hosseini-Beheshti, J. Caradec, M. Y. Chin and E. S. Tomlinson Guns (2016). "Epidermal Growth Factor Receptor in Prostate Cancer Derived Exosomes." </w:t>
      </w:r>
      <w:r w:rsidRPr="00F62E14">
        <w:rPr>
          <w:u w:val="single"/>
        </w:rPr>
        <w:t>PLoS ONE</w:t>
      </w:r>
      <w:r w:rsidRPr="00F62E14">
        <w:t xml:space="preserve"> </w:t>
      </w:r>
      <w:r w:rsidRPr="00F62E14">
        <w:rPr>
          <w:b/>
        </w:rPr>
        <w:t>11</w:t>
      </w:r>
      <w:r w:rsidRPr="00F62E14">
        <w:t>(5): e0154967.</w:t>
      </w:r>
    </w:p>
    <w:bookmarkEnd w:id="20"/>
    <w:p w14:paraId="51F536D8" w14:textId="77777777" w:rsidR="00F62E14" w:rsidRPr="00F62E14" w:rsidRDefault="00F62E14" w:rsidP="00F62E14">
      <w:pPr>
        <w:pStyle w:val="EndNoteBibliography"/>
        <w:spacing w:after="0"/>
        <w:ind w:firstLine="0"/>
      </w:pPr>
    </w:p>
    <w:p w14:paraId="63EA100D" w14:textId="77777777" w:rsidR="00F62E14" w:rsidRPr="00F62E14" w:rsidRDefault="00F62E14" w:rsidP="00F62E14">
      <w:pPr>
        <w:pStyle w:val="EndNoteBibliography"/>
        <w:ind w:firstLine="0"/>
      </w:pPr>
      <w:bookmarkStart w:id="21" w:name="_ENREF_17"/>
      <w:r w:rsidRPr="00F62E14">
        <w:t xml:space="preserve">Kosaka, N., H. Iguchi, Y. Yoshioka, F. Takeshita, Y. Matsuki and T. Ochiya (2010). "Secretory mechanisms and intercellular transfer of microRNAs in living cells." </w:t>
      </w:r>
      <w:r w:rsidRPr="00F62E14">
        <w:rPr>
          <w:u w:val="single"/>
        </w:rPr>
        <w:t>J Biol Chem</w:t>
      </w:r>
      <w:r w:rsidRPr="00F62E14">
        <w:t xml:space="preserve"> </w:t>
      </w:r>
      <w:r w:rsidRPr="00F62E14">
        <w:rPr>
          <w:b/>
        </w:rPr>
        <w:t>285</w:t>
      </w:r>
      <w:r w:rsidRPr="00F62E14">
        <w:t>(23): 17442-17452.</w:t>
      </w:r>
    </w:p>
    <w:bookmarkEnd w:id="21"/>
    <w:p w14:paraId="5477B9EE" w14:textId="77777777" w:rsidR="00F62E14" w:rsidRPr="00F62E14" w:rsidRDefault="00F62E14" w:rsidP="00F62E14">
      <w:pPr>
        <w:pStyle w:val="EndNoteBibliography"/>
        <w:spacing w:after="0"/>
        <w:ind w:firstLine="0"/>
      </w:pPr>
    </w:p>
    <w:p w14:paraId="6BF11020" w14:textId="77777777" w:rsidR="00F62E14" w:rsidRPr="00F62E14" w:rsidRDefault="00F62E14" w:rsidP="00F62E14">
      <w:pPr>
        <w:pStyle w:val="EndNoteBibliography"/>
        <w:ind w:firstLine="0"/>
      </w:pPr>
      <w:bookmarkStart w:id="22" w:name="_ENREF_18"/>
      <w:r w:rsidRPr="00F62E14">
        <w:t xml:space="preserve">Luz, M. A. and A. G. Aprikian (2010). "Preventing bone complications in advanced prostate cancer." </w:t>
      </w:r>
      <w:r w:rsidRPr="00F62E14">
        <w:rPr>
          <w:u w:val="single"/>
        </w:rPr>
        <w:t>Current Oncology</w:t>
      </w:r>
      <w:r w:rsidRPr="00F62E14">
        <w:t xml:space="preserve"> </w:t>
      </w:r>
      <w:r w:rsidRPr="00F62E14">
        <w:rPr>
          <w:b/>
        </w:rPr>
        <w:t>17</w:t>
      </w:r>
      <w:r w:rsidRPr="00F62E14">
        <w:t>(Suppl 2): S65-S71.</w:t>
      </w:r>
    </w:p>
    <w:bookmarkEnd w:id="22"/>
    <w:p w14:paraId="3B5142FE" w14:textId="77777777" w:rsidR="00F62E14" w:rsidRPr="00F62E14" w:rsidRDefault="00F62E14" w:rsidP="00F62E14">
      <w:pPr>
        <w:pStyle w:val="EndNoteBibliography"/>
        <w:spacing w:after="0"/>
        <w:ind w:firstLine="0"/>
      </w:pPr>
    </w:p>
    <w:p w14:paraId="26980196" w14:textId="77777777" w:rsidR="00F62E14" w:rsidRPr="00F62E14" w:rsidRDefault="00F62E14" w:rsidP="00F62E14">
      <w:pPr>
        <w:pStyle w:val="EndNoteBibliography"/>
        <w:ind w:firstLine="0"/>
      </w:pPr>
      <w:bookmarkStart w:id="23" w:name="_ENREF_19"/>
      <w:r w:rsidRPr="00F62E14">
        <w:t xml:space="preserve">McKechnie, N. M., B. C. R. King, E. Fletcher and G. Braun (2006). "Fas-ligand is stored in secretory lysosomes of ocular barrier epithelia and released with microvesicles." </w:t>
      </w:r>
      <w:r w:rsidRPr="00F62E14">
        <w:rPr>
          <w:u w:val="single"/>
        </w:rPr>
        <w:t>Experimental Eye Research</w:t>
      </w:r>
      <w:r w:rsidRPr="00F62E14">
        <w:t xml:space="preserve"> </w:t>
      </w:r>
      <w:r w:rsidRPr="00F62E14">
        <w:rPr>
          <w:b/>
        </w:rPr>
        <w:t>83</w:t>
      </w:r>
      <w:r w:rsidRPr="00F62E14">
        <w:t>(2): 304-314.</w:t>
      </w:r>
    </w:p>
    <w:bookmarkEnd w:id="23"/>
    <w:p w14:paraId="7A1B1FF2" w14:textId="77777777" w:rsidR="00F62E14" w:rsidRPr="00F62E14" w:rsidRDefault="00F62E14" w:rsidP="00F62E14">
      <w:pPr>
        <w:pStyle w:val="EndNoteBibliography"/>
        <w:spacing w:after="0"/>
        <w:ind w:firstLine="0"/>
      </w:pPr>
    </w:p>
    <w:p w14:paraId="54558D7E" w14:textId="77777777" w:rsidR="00F62E14" w:rsidRPr="00F62E14" w:rsidRDefault="00F62E14" w:rsidP="00F62E14">
      <w:pPr>
        <w:pStyle w:val="EndNoteBibliography"/>
        <w:ind w:firstLine="0"/>
      </w:pPr>
      <w:bookmarkStart w:id="24" w:name="_ENREF_20"/>
      <w:r w:rsidRPr="00F62E14">
        <w:t xml:space="preserve">Mili, S., H. J. Shu, Y. Zhao and S. Pinol-Roma (2001). "Distinct RNP complexes of shuttling hnRNP proteins with pre-mRNA and mRNA: candidate intermediates in formation and export of mRNA." </w:t>
      </w:r>
      <w:r w:rsidRPr="00F62E14">
        <w:rPr>
          <w:u w:val="single"/>
        </w:rPr>
        <w:t>Mol Cell Biol</w:t>
      </w:r>
      <w:r w:rsidRPr="00F62E14">
        <w:t xml:space="preserve"> </w:t>
      </w:r>
      <w:r w:rsidRPr="00F62E14">
        <w:rPr>
          <w:b/>
        </w:rPr>
        <w:t>21</w:t>
      </w:r>
      <w:r w:rsidRPr="00F62E14">
        <w:t>(21): 7307-7319.</w:t>
      </w:r>
    </w:p>
    <w:bookmarkEnd w:id="24"/>
    <w:p w14:paraId="3E8C9E63" w14:textId="77777777" w:rsidR="00F62E14" w:rsidRPr="00F62E14" w:rsidRDefault="00F62E14" w:rsidP="00F62E14">
      <w:pPr>
        <w:pStyle w:val="EndNoteBibliography"/>
        <w:spacing w:after="0"/>
        <w:ind w:firstLine="0"/>
      </w:pPr>
    </w:p>
    <w:p w14:paraId="58B3A7F7" w14:textId="77777777" w:rsidR="00F62E14" w:rsidRPr="00F62E14" w:rsidRDefault="00F62E14" w:rsidP="00F62E14">
      <w:pPr>
        <w:pStyle w:val="EndNoteBibliography"/>
        <w:ind w:firstLine="0"/>
      </w:pPr>
      <w:bookmarkStart w:id="25" w:name="_ENREF_21"/>
      <w:r w:rsidRPr="00F62E14">
        <w:t xml:space="preserve">Montecalvo, A., A. T. Larregina, W. J. Shufesky, D. B. Stolz, M. L. Sullivan, J. M. Karlsson, C. J. Baty, G. A. Gibson, G. Erdos, Z. Wang, J. Milosevic, O. A. Tkacheva, S. J. Divito, R. Jordan, J. Lyons-Weiler, S. C. Watkins and A. E. Morelli (2012). "Mechanism of transfer of functional microRNAs between mouse dendritic cells via exosomes." </w:t>
      </w:r>
      <w:r w:rsidRPr="00F62E14">
        <w:rPr>
          <w:u w:val="single"/>
        </w:rPr>
        <w:t>Blood</w:t>
      </w:r>
      <w:r w:rsidRPr="00F62E14">
        <w:t xml:space="preserve"> </w:t>
      </w:r>
      <w:r w:rsidRPr="00F62E14">
        <w:rPr>
          <w:b/>
        </w:rPr>
        <w:t>119</w:t>
      </w:r>
      <w:r w:rsidRPr="00F62E14">
        <w:t>(3): 756-766.</w:t>
      </w:r>
    </w:p>
    <w:bookmarkEnd w:id="25"/>
    <w:p w14:paraId="470790F0" w14:textId="77777777" w:rsidR="00F62E14" w:rsidRPr="00F62E14" w:rsidRDefault="00F62E14" w:rsidP="00F62E14">
      <w:pPr>
        <w:pStyle w:val="EndNoteBibliography"/>
        <w:spacing w:after="0"/>
        <w:ind w:firstLine="0"/>
      </w:pPr>
    </w:p>
    <w:p w14:paraId="699BB1F8" w14:textId="77777777" w:rsidR="00F62E14" w:rsidRPr="00F62E14" w:rsidRDefault="00F62E14" w:rsidP="00F62E14">
      <w:pPr>
        <w:pStyle w:val="EndNoteBibliography"/>
        <w:ind w:firstLine="0"/>
      </w:pPr>
      <w:bookmarkStart w:id="26" w:name="_ENREF_22"/>
      <w:r w:rsidRPr="00F62E14">
        <w:t xml:space="preserve">Moon, H., C. S. Lee, K. L. Inder, S. Sharma, E. Choi, D. M. Black, K. A. Le Cao, C. Winterford, J. I. Coward, M. T. Ling, D. J. Craik, R. G. Parton, P. J. Russell and M. M. Hill (2014). "PTRF/cavin-1 neutralizes non-caveolar caveolin-1 microdomains in prostate cancer." </w:t>
      </w:r>
      <w:r w:rsidRPr="00F62E14">
        <w:rPr>
          <w:u w:val="single"/>
        </w:rPr>
        <w:t>Oncogene</w:t>
      </w:r>
      <w:r w:rsidRPr="00F62E14">
        <w:t xml:space="preserve"> </w:t>
      </w:r>
      <w:r w:rsidRPr="00F62E14">
        <w:rPr>
          <w:b/>
        </w:rPr>
        <w:t>33</w:t>
      </w:r>
      <w:r w:rsidRPr="00F62E14">
        <w:t>(27): 3561-3570.</w:t>
      </w:r>
    </w:p>
    <w:bookmarkEnd w:id="26"/>
    <w:p w14:paraId="55A747C3" w14:textId="77777777" w:rsidR="00F62E14" w:rsidRPr="00F62E14" w:rsidRDefault="00F62E14" w:rsidP="00F62E14">
      <w:pPr>
        <w:pStyle w:val="EndNoteBibliography"/>
        <w:spacing w:after="0"/>
        <w:ind w:firstLine="0"/>
      </w:pPr>
    </w:p>
    <w:p w14:paraId="5F2B17A6" w14:textId="77777777" w:rsidR="00F62E14" w:rsidRPr="00F62E14" w:rsidRDefault="00F62E14" w:rsidP="00F62E14">
      <w:pPr>
        <w:pStyle w:val="EndNoteBibliography"/>
        <w:ind w:firstLine="0"/>
      </w:pPr>
      <w:bookmarkStart w:id="27" w:name="_ENREF_23"/>
      <w:r w:rsidRPr="00F62E14">
        <w:t xml:space="preserve">Moumita, C., B.-J. Edgar, G. T. Dafydd, A. M. Meredith, M. Z. Mark, K. Gazala, R. Charles Andrew, A. G. Kent, C. Ching-Shih, L. Thomas, B.-S. Tanios, C. Arnab and M. W. Terence (2015). "Caveolin-1 is Associated with Tumor Progression and Confers a Multi-Modality Resistance Phenotype in Pancreatic Cancer." </w:t>
      </w:r>
      <w:r w:rsidRPr="00F62E14">
        <w:rPr>
          <w:u w:val="single"/>
        </w:rPr>
        <w:t>Scientific Reports</w:t>
      </w:r>
      <w:r w:rsidRPr="00F62E14">
        <w:t xml:space="preserve"> </w:t>
      </w:r>
      <w:r w:rsidRPr="00F62E14">
        <w:rPr>
          <w:b/>
        </w:rPr>
        <w:t>5</w:t>
      </w:r>
      <w:r w:rsidRPr="00F62E14">
        <w:t>.</w:t>
      </w:r>
    </w:p>
    <w:bookmarkEnd w:id="27"/>
    <w:p w14:paraId="46A57669" w14:textId="77777777" w:rsidR="00F62E14" w:rsidRPr="00F62E14" w:rsidRDefault="00F62E14" w:rsidP="00F62E14">
      <w:pPr>
        <w:pStyle w:val="EndNoteBibliography"/>
        <w:spacing w:after="0"/>
        <w:ind w:firstLine="0"/>
      </w:pPr>
    </w:p>
    <w:p w14:paraId="1BD0BB30" w14:textId="77777777" w:rsidR="00F62E14" w:rsidRPr="00F62E14" w:rsidRDefault="00F62E14" w:rsidP="00F62E14">
      <w:pPr>
        <w:pStyle w:val="EndNoteBibliography"/>
        <w:ind w:firstLine="0"/>
      </w:pPr>
      <w:bookmarkStart w:id="28" w:name="_ENREF_24"/>
      <w:r w:rsidRPr="00F62E14">
        <w:t xml:space="preserve">Palma, J., S. C. Yaddanapudi, L. Pigati, M. A. Havens, S. Jeong, G. A. Weiner, K. M. E. Weimer, B. Stern, M. L. Hastings and D. M. Duelli (2012). "MicroRNAs are exported from malignant cells in customized particles." </w:t>
      </w:r>
      <w:r w:rsidRPr="00F62E14">
        <w:rPr>
          <w:u w:val="single"/>
        </w:rPr>
        <w:t>Nucleic Acids Research</w:t>
      </w:r>
      <w:r w:rsidRPr="00F62E14">
        <w:t xml:space="preserve"> </w:t>
      </w:r>
      <w:r w:rsidRPr="00F62E14">
        <w:rPr>
          <w:b/>
        </w:rPr>
        <w:t>40</w:t>
      </w:r>
      <w:r w:rsidRPr="00F62E14">
        <w:t>(18): 9125-9138.</w:t>
      </w:r>
    </w:p>
    <w:bookmarkEnd w:id="28"/>
    <w:p w14:paraId="5F7D9847" w14:textId="77777777" w:rsidR="00F62E14" w:rsidRPr="00F62E14" w:rsidRDefault="00F62E14" w:rsidP="00F62E14">
      <w:pPr>
        <w:pStyle w:val="EndNoteBibliography"/>
        <w:spacing w:after="0"/>
        <w:ind w:firstLine="0"/>
      </w:pPr>
    </w:p>
    <w:p w14:paraId="467ED5D8" w14:textId="77777777" w:rsidR="00F62E14" w:rsidRPr="00F62E14" w:rsidRDefault="00F62E14" w:rsidP="00F62E14">
      <w:pPr>
        <w:pStyle w:val="EndNoteBibliography"/>
        <w:ind w:firstLine="0"/>
      </w:pPr>
      <w:bookmarkStart w:id="29" w:name="_ENREF_25"/>
      <w:r w:rsidRPr="00F62E14">
        <w:t xml:space="preserve">Pegtel, D. M., L. Peferoen and S. Amor (2014). "Extracellular vesicles as modulators of cell-to-cell communication in the healthy and diseased brain." </w:t>
      </w:r>
      <w:r w:rsidRPr="00F62E14">
        <w:rPr>
          <w:u w:val="single"/>
        </w:rPr>
        <w:t>Philosophical Transactions of the Royal Society B: Biological Sciences</w:t>
      </w:r>
      <w:r w:rsidRPr="00F62E14">
        <w:t xml:space="preserve"> </w:t>
      </w:r>
      <w:r w:rsidRPr="00F62E14">
        <w:rPr>
          <w:b/>
        </w:rPr>
        <w:t>369</w:t>
      </w:r>
      <w:r w:rsidRPr="00F62E14">
        <w:t>(1652): 20130516.</w:t>
      </w:r>
    </w:p>
    <w:bookmarkEnd w:id="29"/>
    <w:p w14:paraId="17AC68E2" w14:textId="77777777" w:rsidR="00F62E14" w:rsidRPr="00F62E14" w:rsidRDefault="00F62E14" w:rsidP="00F62E14">
      <w:pPr>
        <w:pStyle w:val="EndNoteBibliography"/>
        <w:spacing w:after="0"/>
        <w:ind w:firstLine="0"/>
      </w:pPr>
    </w:p>
    <w:p w14:paraId="7B33615A" w14:textId="77777777" w:rsidR="00F62E14" w:rsidRPr="00F62E14" w:rsidRDefault="00F62E14" w:rsidP="00F62E14">
      <w:pPr>
        <w:pStyle w:val="EndNoteBibliography"/>
        <w:ind w:firstLine="0"/>
      </w:pPr>
      <w:bookmarkStart w:id="30" w:name="_ENREF_26"/>
      <w:r w:rsidRPr="00F62E14">
        <w:t xml:space="preserve">Ramteke, A., H. Ting, C. Agarwal, S. Mateen, R. Somasagara, A. Hussain, M. Graner, B. Frederick, R. Agarwal and G. Deep (2015). "Exosomes secreted under hypoxia enhance invasiveness and stemness of prostate cancer cells by targeting adherens junction molecules." </w:t>
      </w:r>
      <w:r w:rsidRPr="00F62E14">
        <w:rPr>
          <w:u w:val="single"/>
        </w:rPr>
        <w:t>Mol Carcinog</w:t>
      </w:r>
      <w:r w:rsidRPr="00F62E14">
        <w:t xml:space="preserve"> </w:t>
      </w:r>
      <w:r w:rsidRPr="00F62E14">
        <w:rPr>
          <w:b/>
        </w:rPr>
        <w:t>54</w:t>
      </w:r>
      <w:r w:rsidRPr="00F62E14">
        <w:t>(7): 554-565.</w:t>
      </w:r>
    </w:p>
    <w:bookmarkEnd w:id="30"/>
    <w:p w14:paraId="67F46349" w14:textId="77777777" w:rsidR="00F62E14" w:rsidRPr="00F62E14" w:rsidRDefault="00F62E14" w:rsidP="00F62E14">
      <w:pPr>
        <w:pStyle w:val="EndNoteBibliography"/>
        <w:spacing w:after="0"/>
        <w:ind w:firstLine="0"/>
      </w:pPr>
    </w:p>
    <w:p w14:paraId="4AA3BC08" w14:textId="77777777" w:rsidR="00F62E14" w:rsidRPr="00F62E14" w:rsidRDefault="00F62E14" w:rsidP="00F62E14">
      <w:pPr>
        <w:pStyle w:val="EndNoteBibliography"/>
        <w:ind w:firstLine="0"/>
      </w:pPr>
      <w:bookmarkStart w:id="31" w:name="_ENREF_27"/>
      <w:r w:rsidRPr="00F62E14">
        <w:t xml:space="preserve">Reddi, K. K. and J. F. Holland (1976). "Elevated serum ribonuclease in patients with pancreatic cancer." </w:t>
      </w:r>
      <w:r w:rsidRPr="00F62E14">
        <w:rPr>
          <w:u w:val="single"/>
        </w:rPr>
        <w:t>Proceedings of the National Academy of Sciences</w:t>
      </w:r>
      <w:r w:rsidRPr="00F62E14">
        <w:t xml:space="preserve"> </w:t>
      </w:r>
      <w:r w:rsidRPr="00F62E14">
        <w:rPr>
          <w:b/>
        </w:rPr>
        <w:t>73</w:t>
      </w:r>
      <w:r w:rsidRPr="00F62E14">
        <w:t>(7): 2308-2310.</w:t>
      </w:r>
    </w:p>
    <w:bookmarkEnd w:id="31"/>
    <w:p w14:paraId="46607DCF" w14:textId="77777777" w:rsidR="00F62E14" w:rsidRPr="00F62E14" w:rsidRDefault="00F62E14" w:rsidP="00F62E14">
      <w:pPr>
        <w:pStyle w:val="EndNoteBibliography"/>
        <w:spacing w:after="0"/>
        <w:ind w:firstLine="0"/>
      </w:pPr>
    </w:p>
    <w:p w14:paraId="1D9BCCD0" w14:textId="77777777" w:rsidR="00F62E14" w:rsidRPr="00F62E14" w:rsidRDefault="00F62E14" w:rsidP="00F62E14">
      <w:pPr>
        <w:pStyle w:val="EndNoteBibliography"/>
        <w:ind w:firstLine="0"/>
      </w:pPr>
      <w:bookmarkStart w:id="32" w:name="_ENREF_28"/>
      <w:r w:rsidRPr="00F62E14">
        <w:t xml:space="preserve">Song, X., Y. Ding, G. Liu, X. Yang, R. Zhao, Y. Zhang, X. Zhao, G. J. Anderson and G. Nie (2016). "Cancer Cell-Derived Exosomes Induce Mitogen-Activated Protein Kinase-Dependent Monocyte Survival by Transport of Functional Receptor Tyrosine Kinases." </w:t>
      </w:r>
      <w:r w:rsidRPr="00F62E14">
        <w:rPr>
          <w:u w:val="single"/>
        </w:rPr>
        <w:t>Journal of Biological Chemistry</w:t>
      </w:r>
      <w:r w:rsidRPr="00F62E14">
        <w:t>.</w:t>
      </w:r>
    </w:p>
    <w:bookmarkEnd w:id="32"/>
    <w:p w14:paraId="768E9A39" w14:textId="77777777" w:rsidR="00F62E14" w:rsidRPr="00F62E14" w:rsidRDefault="00F62E14" w:rsidP="00F62E14">
      <w:pPr>
        <w:pStyle w:val="EndNoteBibliography"/>
        <w:spacing w:after="0"/>
        <w:ind w:firstLine="0"/>
      </w:pPr>
    </w:p>
    <w:p w14:paraId="67D18C45" w14:textId="77777777" w:rsidR="00F62E14" w:rsidRPr="00F62E14" w:rsidRDefault="00F62E14" w:rsidP="00F62E14">
      <w:pPr>
        <w:pStyle w:val="EndNoteBibliography"/>
        <w:ind w:firstLine="0"/>
      </w:pPr>
      <w:bookmarkStart w:id="33" w:name="_ENREF_29"/>
      <w:r w:rsidRPr="00F62E14">
        <w:t xml:space="preserve">Tsui, N. B., E. K. Ng and Y. M. Lo (2002). "Stability of endogenous and added RNA in blood specimens, serum, and plasma." </w:t>
      </w:r>
      <w:r w:rsidRPr="00F62E14">
        <w:rPr>
          <w:u w:val="single"/>
        </w:rPr>
        <w:t>Clin Chem</w:t>
      </w:r>
      <w:r w:rsidRPr="00F62E14">
        <w:t xml:space="preserve"> </w:t>
      </w:r>
      <w:r w:rsidRPr="00F62E14">
        <w:rPr>
          <w:b/>
        </w:rPr>
        <w:t>48</w:t>
      </w:r>
      <w:r w:rsidRPr="00F62E14">
        <w:t>(10): 1647-1653.</w:t>
      </w:r>
    </w:p>
    <w:bookmarkEnd w:id="33"/>
    <w:p w14:paraId="11E0B7F6" w14:textId="77777777" w:rsidR="00F62E14" w:rsidRPr="00F62E14" w:rsidRDefault="00F62E14" w:rsidP="00F62E14">
      <w:pPr>
        <w:pStyle w:val="EndNoteBibliography"/>
        <w:spacing w:after="0"/>
        <w:ind w:firstLine="0"/>
      </w:pPr>
    </w:p>
    <w:p w14:paraId="1C41DFED" w14:textId="77777777" w:rsidR="00F62E14" w:rsidRPr="00F62E14" w:rsidRDefault="00F62E14" w:rsidP="00F62E14">
      <w:pPr>
        <w:pStyle w:val="EndNoteBibliography"/>
        <w:ind w:firstLine="0"/>
      </w:pPr>
      <w:bookmarkStart w:id="34" w:name="_ENREF_30"/>
      <w:r w:rsidRPr="00F62E14">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F62E14">
        <w:rPr>
          <w:u w:val="single"/>
        </w:rPr>
        <w:t>Nat Commun</w:t>
      </w:r>
      <w:r w:rsidRPr="00F62E14">
        <w:t xml:space="preserve"> </w:t>
      </w:r>
      <w:r w:rsidRPr="00F62E14">
        <w:rPr>
          <w:b/>
        </w:rPr>
        <w:t>4</w:t>
      </w:r>
      <w:r w:rsidRPr="00F62E14">
        <w:t>.</w:t>
      </w:r>
    </w:p>
    <w:bookmarkEnd w:id="34"/>
    <w:p w14:paraId="5A257D4B" w14:textId="77777777" w:rsidR="00F62E14" w:rsidRPr="00F62E14" w:rsidRDefault="00F62E14" w:rsidP="00F62E14">
      <w:pPr>
        <w:pStyle w:val="EndNoteBibliography"/>
        <w:spacing w:after="0"/>
        <w:ind w:firstLine="0"/>
      </w:pPr>
    </w:p>
    <w:p w14:paraId="3DB92040" w14:textId="77777777" w:rsidR="00F62E14" w:rsidRPr="00F62E14" w:rsidRDefault="00F62E14" w:rsidP="00F62E14">
      <w:pPr>
        <w:pStyle w:val="EndNoteBibliography"/>
        <w:ind w:firstLine="0"/>
      </w:pPr>
      <w:bookmarkStart w:id="35" w:name="_ENREF_31"/>
      <w:r w:rsidRPr="00F62E14">
        <w:t xml:space="preserve">Wu, H.-C., C.-H. Chang, Y.-A. Tsou, C.-W. Tsai, C.-C. Lin and D.-T. Bau (2011). "Significant Association of Caveolin-1 (CAV1) Genotypes with Prostate Cancer Susceptibility in Taiwan." </w:t>
      </w:r>
      <w:r w:rsidRPr="00F62E14">
        <w:rPr>
          <w:u w:val="single"/>
        </w:rPr>
        <w:t>Anticancer Research</w:t>
      </w:r>
      <w:r w:rsidRPr="00F62E14">
        <w:t xml:space="preserve"> </w:t>
      </w:r>
      <w:r w:rsidRPr="00F62E14">
        <w:rPr>
          <w:b/>
        </w:rPr>
        <w:t>31</w:t>
      </w:r>
      <w:r w:rsidRPr="00F62E14">
        <w:t>(2): 745-749.</w:t>
      </w:r>
    </w:p>
    <w:bookmarkEnd w:id="35"/>
    <w:p w14:paraId="4AC667B7" w14:textId="77777777" w:rsidR="00F62E14" w:rsidRPr="00F62E14" w:rsidRDefault="00F62E14" w:rsidP="00F62E14">
      <w:pPr>
        <w:pStyle w:val="EndNoteBibliography"/>
        <w:spacing w:after="0"/>
        <w:ind w:firstLine="0"/>
      </w:pPr>
    </w:p>
    <w:p w14:paraId="54188E57" w14:textId="77777777" w:rsidR="00F62E14" w:rsidRPr="00F62E14" w:rsidRDefault="00F62E14" w:rsidP="00F62E14">
      <w:pPr>
        <w:pStyle w:val="EndNoteBibliography"/>
        <w:ind w:firstLine="0"/>
      </w:pPr>
      <w:bookmarkStart w:id="36" w:name="_ENREF_32"/>
      <w:r w:rsidRPr="00F62E14">
        <w:t xml:space="preserve">Wysoczynski, M. and M. Z. Ratajczak (2009). "LUNG CANCER SECRETED MICROVESCILES: UNDERAPPRECIATED MODULATORS OF MICROENVIRONMENT IN EXPANDING TUMORS." </w:t>
      </w:r>
      <w:r w:rsidRPr="00F62E14">
        <w:rPr>
          <w:u w:val="single"/>
        </w:rPr>
        <w:t>International journal of cancer. Journal international du cancer</w:t>
      </w:r>
      <w:r w:rsidRPr="00F62E14">
        <w:t xml:space="preserve"> </w:t>
      </w:r>
      <w:r w:rsidRPr="00F62E14">
        <w:rPr>
          <w:b/>
        </w:rPr>
        <w:t>125</w:t>
      </w:r>
      <w:r w:rsidRPr="00F62E14">
        <w:t>(7): 1595-1603.</w:t>
      </w:r>
    </w:p>
    <w:bookmarkEnd w:id="36"/>
    <w:p w14:paraId="65495C9A" w14:textId="77777777" w:rsidR="00F62E14" w:rsidRPr="00F62E14" w:rsidRDefault="00F62E14" w:rsidP="00F62E14">
      <w:pPr>
        <w:pStyle w:val="EndNoteBibliography"/>
        <w:spacing w:after="0"/>
        <w:ind w:firstLine="0"/>
      </w:pPr>
    </w:p>
    <w:p w14:paraId="4F040FEB" w14:textId="77777777" w:rsidR="00F62E14" w:rsidRPr="00F62E14" w:rsidRDefault="00F62E14" w:rsidP="00F62E14">
      <w:pPr>
        <w:pStyle w:val="EndNoteBibliography"/>
        <w:ind w:firstLine="0"/>
      </w:pPr>
      <w:bookmarkStart w:id="37" w:name="_ENREF_33"/>
      <w:r w:rsidRPr="00F62E14">
        <w:t xml:space="preserve">Zhou, W., M. Y. Fong, Y. Min, G. Somlo, L. Liu, M. R. Palomares, Y. Yu, A. Chow, S. T. F. O’Connor, A. R. Chin, Y. Yen, Y. Wang, E. G. Marcusson, P. Chu, J. Wu, X. Wu, A. X. Li, Z. Li, H. Gao, X. Ren, M. P. Boldin, P. C. Lin and S. E. Wang (2014). "Cancer-secreted miR-105 destroys vascular endothelial barriers to promote metastasis." </w:t>
      </w:r>
      <w:r w:rsidRPr="00F62E14">
        <w:rPr>
          <w:u w:val="single"/>
        </w:rPr>
        <w:t>Cancer Cell</w:t>
      </w:r>
      <w:r w:rsidRPr="00F62E14">
        <w:t xml:space="preserve"> </w:t>
      </w:r>
      <w:r w:rsidRPr="00F62E14">
        <w:rPr>
          <w:b/>
        </w:rPr>
        <w:t>25</w:t>
      </w:r>
      <w:r w:rsidRPr="00F62E14">
        <w:t>(4): 501-515.</w:t>
      </w:r>
    </w:p>
    <w:bookmarkEnd w:id="37"/>
    <w:p w14:paraId="58429E10" w14:textId="77777777" w:rsidR="00F62E14" w:rsidRPr="00F62E14" w:rsidRDefault="00F62E14" w:rsidP="00F62E14">
      <w:pPr>
        <w:pStyle w:val="EndNoteBibliography"/>
        <w:ind w:firstLine="0"/>
      </w:pPr>
    </w:p>
    <w:p w14:paraId="199829F0" w14:textId="69E383C2" w:rsidR="008A65F4" w:rsidRPr="00D92C78" w:rsidRDefault="00E05117" w:rsidP="008A65F4">
      <w:pPr>
        <w:rPr>
          <w:rFonts w:ascii="Times New Roman" w:hAnsi="Times New Roman" w:cs="Times New Roman"/>
          <w:sz w:val="24"/>
          <w:szCs w:val="24"/>
          <w:shd w:val="clear" w:color="auto" w:fill="FFFFFF"/>
        </w:rPr>
      </w:pPr>
      <w:r w:rsidRPr="00D92C78">
        <w:rPr>
          <w:rFonts w:ascii="Times New Roman" w:hAnsi="Times New Roman" w:cs="Times New Roman"/>
          <w:sz w:val="24"/>
          <w:szCs w:val="24"/>
        </w:rPr>
        <w:fldChar w:fldCharType="end"/>
      </w:r>
    </w:p>
    <w:p w14:paraId="2910102B" w14:textId="7057F3CE" w:rsidR="00690B2B" w:rsidRPr="00D92C78" w:rsidRDefault="00690B2B" w:rsidP="008A65F4">
      <w:pPr>
        <w:rPr>
          <w:rFonts w:ascii="Times New Roman" w:hAnsi="Times New Roman" w:cs="Times New Roman"/>
          <w:sz w:val="24"/>
          <w:szCs w:val="24"/>
        </w:rPr>
      </w:pPr>
    </w:p>
    <w:sectPr w:rsidR="00690B2B" w:rsidRPr="00D92C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helle Hill" w:date="2016-08-18T23:53:00Z" w:initials="MH">
    <w:p w14:paraId="3745FCF0" w14:textId="500DE45E" w:rsidR="00227A59" w:rsidRDefault="00227A59">
      <w:pPr>
        <w:pStyle w:val="CommentText"/>
      </w:pPr>
      <w:r>
        <w:rPr>
          <w:rStyle w:val="CommentReference"/>
        </w:rPr>
        <w:annotationRef/>
      </w:r>
      <w:r>
        <w:t>Tighten up the EV sentences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45FC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0&lt;/item&gt;&lt;item&gt;33&lt;/item&gt;&lt;item&gt;114&lt;/item&gt;&lt;item&gt;150&lt;/item&gt;&lt;item&gt;151&lt;/item&gt;&lt;item&gt;153&lt;/item&gt;&lt;item&gt;156&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record-ids&gt;&lt;/item&gt;&lt;/Libraries&gt;"/>
  </w:docVars>
  <w:rsids>
    <w:rsidRoot w:val="00F26152"/>
    <w:rsid w:val="00010C12"/>
    <w:rsid w:val="00032294"/>
    <w:rsid w:val="00055C57"/>
    <w:rsid w:val="00080F35"/>
    <w:rsid w:val="000A2007"/>
    <w:rsid w:val="000A2838"/>
    <w:rsid w:val="000F02B1"/>
    <w:rsid w:val="00120C1A"/>
    <w:rsid w:val="001332BB"/>
    <w:rsid w:val="001549AE"/>
    <w:rsid w:val="001A629C"/>
    <w:rsid w:val="001C4FC2"/>
    <w:rsid w:val="002121FA"/>
    <w:rsid w:val="00225533"/>
    <w:rsid w:val="00227A59"/>
    <w:rsid w:val="00271772"/>
    <w:rsid w:val="00287666"/>
    <w:rsid w:val="00295139"/>
    <w:rsid w:val="002B418E"/>
    <w:rsid w:val="002B4266"/>
    <w:rsid w:val="002C0953"/>
    <w:rsid w:val="002C55DB"/>
    <w:rsid w:val="003516DB"/>
    <w:rsid w:val="00363848"/>
    <w:rsid w:val="0037505E"/>
    <w:rsid w:val="00387251"/>
    <w:rsid w:val="003A4FB3"/>
    <w:rsid w:val="004030B3"/>
    <w:rsid w:val="00415B8F"/>
    <w:rsid w:val="004444FA"/>
    <w:rsid w:val="00461480"/>
    <w:rsid w:val="00466918"/>
    <w:rsid w:val="00486CF2"/>
    <w:rsid w:val="004A48AD"/>
    <w:rsid w:val="004D0458"/>
    <w:rsid w:val="005236AE"/>
    <w:rsid w:val="00543805"/>
    <w:rsid w:val="005645E1"/>
    <w:rsid w:val="00577A2B"/>
    <w:rsid w:val="005839BD"/>
    <w:rsid w:val="005A1DFE"/>
    <w:rsid w:val="00623B82"/>
    <w:rsid w:val="00625638"/>
    <w:rsid w:val="00625BA0"/>
    <w:rsid w:val="0063105D"/>
    <w:rsid w:val="00651164"/>
    <w:rsid w:val="00652B1B"/>
    <w:rsid w:val="00690B2B"/>
    <w:rsid w:val="006E2E1A"/>
    <w:rsid w:val="006E5436"/>
    <w:rsid w:val="00734803"/>
    <w:rsid w:val="007579A6"/>
    <w:rsid w:val="00781013"/>
    <w:rsid w:val="007A3112"/>
    <w:rsid w:val="007E521F"/>
    <w:rsid w:val="00820937"/>
    <w:rsid w:val="008344AE"/>
    <w:rsid w:val="008506A9"/>
    <w:rsid w:val="00874CCF"/>
    <w:rsid w:val="00880D74"/>
    <w:rsid w:val="00887E7B"/>
    <w:rsid w:val="008938C1"/>
    <w:rsid w:val="008A65F4"/>
    <w:rsid w:val="008E6AFE"/>
    <w:rsid w:val="008F5494"/>
    <w:rsid w:val="009454B9"/>
    <w:rsid w:val="009608BD"/>
    <w:rsid w:val="009A057F"/>
    <w:rsid w:val="009A0B40"/>
    <w:rsid w:val="009F4C73"/>
    <w:rsid w:val="00A021E9"/>
    <w:rsid w:val="00A27B39"/>
    <w:rsid w:val="00A51AFF"/>
    <w:rsid w:val="00A77EF0"/>
    <w:rsid w:val="00AA4692"/>
    <w:rsid w:val="00AE609E"/>
    <w:rsid w:val="00B009A1"/>
    <w:rsid w:val="00B23259"/>
    <w:rsid w:val="00B3045A"/>
    <w:rsid w:val="00B4460E"/>
    <w:rsid w:val="00B54929"/>
    <w:rsid w:val="00B716FF"/>
    <w:rsid w:val="00B76857"/>
    <w:rsid w:val="00B834BE"/>
    <w:rsid w:val="00B863F4"/>
    <w:rsid w:val="00B901B7"/>
    <w:rsid w:val="00B95120"/>
    <w:rsid w:val="00BC6ED9"/>
    <w:rsid w:val="00BD4567"/>
    <w:rsid w:val="00BE7CE6"/>
    <w:rsid w:val="00C2738E"/>
    <w:rsid w:val="00C9134B"/>
    <w:rsid w:val="00CA2888"/>
    <w:rsid w:val="00CD38B8"/>
    <w:rsid w:val="00CD50B8"/>
    <w:rsid w:val="00CF7D14"/>
    <w:rsid w:val="00D736DD"/>
    <w:rsid w:val="00D92C78"/>
    <w:rsid w:val="00DC5042"/>
    <w:rsid w:val="00E019CA"/>
    <w:rsid w:val="00E05117"/>
    <w:rsid w:val="00E0603F"/>
    <w:rsid w:val="00E63D30"/>
    <w:rsid w:val="00E63DDB"/>
    <w:rsid w:val="00E65BF9"/>
    <w:rsid w:val="00E66115"/>
    <w:rsid w:val="00E81F6E"/>
    <w:rsid w:val="00E92B02"/>
    <w:rsid w:val="00EA5858"/>
    <w:rsid w:val="00EE7A29"/>
    <w:rsid w:val="00F26152"/>
    <w:rsid w:val="00F62E14"/>
    <w:rsid w:val="00F649E2"/>
    <w:rsid w:val="00FB0D75"/>
    <w:rsid w:val="00FC1F9D"/>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051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05117"/>
    <w:rPr>
      <w:rFonts w:ascii="Calibri" w:hAnsi="Calibri"/>
      <w:noProof/>
      <w:lang w:val="en-US"/>
    </w:rPr>
  </w:style>
  <w:style w:type="paragraph" w:customStyle="1" w:styleId="EndNoteBibliography">
    <w:name w:val="EndNote Bibliography"/>
    <w:basedOn w:val="Normal"/>
    <w:link w:val="EndNoteBibliographyChar"/>
    <w:rsid w:val="00E051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05117"/>
    <w:rPr>
      <w:rFonts w:ascii="Calibri" w:hAnsi="Calibri"/>
      <w:noProof/>
      <w:lang w:val="en-US"/>
    </w:rPr>
  </w:style>
  <w:style w:type="character" w:styleId="Hyperlink">
    <w:name w:val="Hyperlink"/>
    <w:basedOn w:val="DefaultParagraphFont"/>
    <w:uiPriority w:val="99"/>
    <w:unhideWhenUsed/>
    <w:rsid w:val="00E05117"/>
    <w:rPr>
      <w:color w:val="0563C1" w:themeColor="hyperlink"/>
      <w:u w:val="single"/>
    </w:rPr>
  </w:style>
  <w:style w:type="character" w:styleId="FollowedHyperlink">
    <w:name w:val="FollowedHyperlink"/>
    <w:basedOn w:val="DefaultParagraphFont"/>
    <w:uiPriority w:val="99"/>
    <w:semiHidden/>
    <w:unhideWhenUsed/>
    <w:rsid w:val="005438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4419</Words>
  <Characters>25191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6</cp:revision>
  <dcterms:created xsi:type="dcterms:W3CDTF">2016-08-18T23:31:00Z</dcterms:created>
  <dcterms:modified xsi:type="dcterms:W3CDTF">2016-08-24T04:17:00Z</dcterms:modified>
</cp:coreProperties>
</file>